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07" w:rsidRDefault="00FD5507">
      <w:pPr>
        <w:jc w:val="center"/>
        <w:rPr>
          <w:b/>
        </w:rPr>
      </w:pPr>
    </w:p>
    <w:p w:rsidR="00FD5507" w:rsidRDefault="00FD5507">
      <w:pPr>
        <w:spacing w:after="240"/>
        <w:jc w:val="center"/>
        <w:rPr>
          <w:b/>
        </w:rPr>
      </w:pPr>
    </w:p>
    <w:tbl>
      <w:tblPr>
        <w:tblStyle w:val="a"/>
        <w:tblW w:w="102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2322"/>
        <w:gridCol w:w="2805"/>
        <w:gridCol w:w="2535"/>
      </w:tblGrid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Tytuł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highlight w:val="white"/>
              </w:rPr>
              <w:t xml:space="preserve">Digitalizacja i integracja zasobów nauki w ramach wspólnej platformy </w:t>
            </w:r>
            <w:proofErr w:type="spellStart"/>
            <w:r>
              <w:rPr>
                <w:b/>
                <w:highlight w:val="white"/>
              </w:rPr>
              <w:t>repozytoryjnej</w:t>
            </w:r>
            <w:proofErr w:type="spellEnd"/>
            <w:r>
              <w:rPr>
                <w:b/>
                <w:highlight w:val="white"/>
              </w:rPr>
              <w:t xml:space="preserve"> instytutów badawczych - </w:t>
            </w:r>
            <w:proofErr w:type="spellStart"/>
            <w:r>
              <w:rPr>
                <w:b/>
                <w:highlight w:val="white"/>
              </w:rPr>
              <w:t>Digitarium</w:t>
            </w:r>
            <w:proofErr w:type="spellEnd"/>
            <w:r>
              <w:rPr>
                <w:b/>
                <w:highlight w:val="white"/>
              </w:rPr>
              <w:t xml:space="preserve"> Instytutów Badawczych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Wnioskodawca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Ministerstwo Przedsiębiorczości i Technologii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Beneficjent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Przemysłowy Instytut Maszyn Rolniczych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Partnerzy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Obróbki Plastycznej</w:t>
            </w:r>
          </w:p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Pojazdów Szynowych “TABOR”</w:t>
            </w:r>
          </w:p>
          <w:p w:rsidR="00FD5507" w:rsidRDefault="00715BA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Instytut Technologii Drewna </w:t>
            </w:r>
          </w:p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Włókien Naturalnych i Roślin Zielarskich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Źródło finansowania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Program Operacyjny Polska Cyfrowa, Działanie 2.3, Poddziałanie 2.3.1</w:t>
            </w:r>
          </w:p>
          <w:p w:rsidR="00FD5507" w:rsidRDefault="00715B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Środki UE: 84,63%</w:t>
            </w:r>
            <w:r w:rsidR="00F1516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FD5507" w:rsidRDefault="00715BA0" w:rsidP="00A035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Budżet państwa</w:t>
            </w:r>
            <w:r w:rsidR="00A0351F">
              <w:rPr>
                <w:rFonts w:ascii="Calibri" w:eastAsia="Calibri" w:hAnsi="Calibri" w:cs="Calibri"/>
                <w:sz w:val="22"/>
                <w:szCs w:val="22"/>
              </w:rPr>
              <w:t xml:space="preserve"> – nieznana część budżetu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15,37%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Całkowity koszt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6 852 414,45 zł (brutto)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Planowany okres realizacji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04.2019 – 03.2022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Osoba kontaktowa</w:t>
            </w:r>
          </w:p>
        </w:tc>
        <w:tc>
          <w:tcPr>
            <w:tcW w:w="2322" w:type="dxa"/>
            <w:shd w:val="clear" w:color="auto" w:fill="FFFFFF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Agnieszka </w:t>
            </w:r>
            <w:proofErr w:type="spellStart"/>
            <w:r>
              <w:rPr>
                <w:b/>
                <w:sz w:val="22"/>
                <w:szCs w:val="22"/>
              </w:rPr>
              <w:t>Klembalska</w:t>
            </w:r>
            <w:proofErr w:type="spellEnd"/>
          </w:p>
        </w:tc>
        <w:tc>
          <w:tcPr>
            <w:tcW w:w="2805" w:type="dxa"/>
            <w:shd w:val="clear" w:color="auto" w:fill="auto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agnes@pimr.poznan.pl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618712266</w:t>
            </w:r>
          </w:p>
        </w:tc>
      </w:tr>
    </w:tbl>
    <w:p w:rsidR="00FD5507" w:rsidRDefault="00FD5507">
      <w:pPr>
        <w:tabs>
          <w:tab w:val="left" w:pos="6000"/>
        </w:tabs>
      </w:pPr>
    </w:p>
    <w:p w:rsidR="00FD5507" w:rsidRDefault="00715BA0">
      <w:pPr>
        <w:pStyle w:val="Nagwek1"/>
        <w:spacing w:before="1080" w:after="0"/>
        <w:ind w:left="0"/>
        <w:jc w:val="both"/>
      </w:pPr>
      <w:bookmarkStart w:id="0" w:name="_gjdgxs" w:colFirst="0" w:colLast="0"/>
      <w:bookmarkEnd w:id="0"/>
      <w:r>
        <w:t>POWODY PODJĘCIA PROJEKTU</w:t>
      </w:r>
    </w:p>
    <w:p w:rsidR="00FD5507" w:rsidRDefault="00715BA0">
      <w:pPr>
        <w:pStyle w:val="Nagwek2"/>
        <w:numPr>
          <w:ilvl w:val="1"/>
          <w:numId w:val="5"/>
        </w:numPr>
      </w:pPr>
      <w:bookmarkStart w:id="1" w:name="_30j0zll" w:colFirst="0" w:colLast="0"/>
      <w:bookmarkEnd w:id="1"/>
      <w:r>
        <w:t xml:space="preserve">Identyfikacja problemu i potrzeb </w:t>
      </w:r>
    </w:p>
    <w:p w:rsidR="00FD5507" w:rsidRDefault="00715BA0">
      <w:pPr>
        <w:spacing w:after="120"/>
        <w:ind w:left="900" w:firstLine="540"/>
        <w:jc w:val="both"/>
        <w:rPr>
          <w:color w:val="000000"/>
        </w:rPr>
      </w:pPr>
      <w:r>
        <w:rPr>
          <w:sz w:val="22"/>
          <w:szCs w:val="22"/>
        </w:rPr>
        <w:t xml:space="preserve">Misją instytutów badawczych jest współpraca z przemysłem - stanowiąc jego wsparcie naukowo-badawcze, zobligowane są do stałej współpracy, realizacji prac na zlecenie i monitorowania potrzeb rynku. Znajomość potrzeb wynikająca z wieloletniej kooperacji z odbiorcami wyników prac oraz wyniki przeprowadzonej na potrzeby projektu ankiety wskazują, iż istnieje zapotrzebowanie na udostępnienie zasobów nauki instytutów wchodzących w skład Partnerstwa projektowego. Problem w efektywnej współpracy (nie tylko z przemysłem - także z innymi, zidentyfikowanymi grupami odbiorców: sferą nauki, szkolnictwem, instytucjami otoczenia biznesu, administracją, indywidualnymi użytkownikami)  stanowi  dotychczasowa niedostępność kolekcji dedykowanej do udostępnienia w ramach projektu. Nieznajomość tych zasobów przez potencjalnych odbiorców wpływa niekorzystnie na stan wiedzy na temat zakresu działalności instytutów oraz świadomość ich potencjału naukowo-badawczego. Ponadto, kolekcja jest niezabezpieczona - stanowią ją niejednokrotnie materiały kilkudziesięcioletnie, które aby przetrwać wymagają digitalizacji (część z nich ulegnie zniszczeniu już podczas skanowania). Rozproszenie zasobów, w poszczególnych instytucjach wpływa niekorzystnie na możliwości użytkownika w ich odnalezieniu - integracja </w:t>
      </w:r>
      <w:proofErr w:type="spellStart"/>
      <w:r>
        <w:rPr>
          <w:sz w:val="22"/>
          <w:szCs w:val="22"/>
        </w:rPr>
        <w:lastRenderedPageBreak/>
        <w:t>pełnotekstowych</w:t>
      </w:r>
      <w:proofErr w:type="spellEnd"/>
      <w:r>
        <w:rPr>
          <w:sz w:val="22"/>
          <w:szCs w:val="22"/>
        </w:rPr>
        <w:t xml:space="preserve"> dokumentów na jednej wspólnej platformie cyfrowej znacznie poprawi tę sytuację i wpłynie na skrócenie czasu w dotarciu do dokumentu. Zebranie tych dokumentów ujednolica także dotychczasową różnorodność form przechowywania. Projekt ma na celu dostosowanie zasobów nauki poszczególnych Partnerów (PIMR - Partner Wiodący, INOP,  ITD, IPS “TABOR”, </w:t>
      </w:r>
      <w:proofErr w:type="spellStart"/>
      <w:r>
        <w:rPr>
          <w:sz w:val="22"/>
          <w:szCs w:val="22"/>
        </w:rPr>
        <w:t>IWNiRZ</w:t>
      </w:r>
      <w:proofErr w:type="spellEnd"/>
      <w:r>
        <w:rPr>
          <w:sz w:val="22"/>
          <w:szCs w:val="22"/>
        </w:rPr>
        <w:t xml:space="preserve">) do cyfrowego udostępnienia i umieszczenie ich we wspólnym repozytorium. W obliczu planów reformy instytutów badawczych (IB) restrukturyzacji ulegną między innymi działy informacji naukowej, obejmujące biblioteki, wydawnictwa i archiwa zakładowe. Digitalizacja i stworzenie odpowiedniego repozytorium cyfrowego zasobów nauki ma na celu zachowanie i ochronę cennych kolekcji, stanowiących dziedzictwo narodowe zasobów naukowych państwa, zebranych w wersji analogowej oraz umożliwienia udostępniania ich oraz bieżących publikacji i wyników prac B+R w systemie otwartej nauki. Konsorcjum przygotowuje projekt z myślą o dostosowaniu unikatowych zbiorów do przyszłych warunków funkcjonowania IB, rozszerzeniu możliwości korzystania z nich oraz przeniesienia ich na dostarczoną przez MC infrastrukturę (w ramach projektu KRONIK@). Chęć integracji środowiska IB i eliminacja rozwiązań wyspowych, rozproszonych jest jednym z podstawowych założeń projektu. Platforma </w:t>
      </w:r>
      <w:proofErr w:type="spellStart"/>
      <w:r>
        <w:rPr>
          <w:sz w:val="22"/>
          <w:szCs w:val="22"/>
        </w:rPr>
        <w:t>repozytoryjna</w:t>
      </w:r>
      <w:proofErr w:type="spellEnd"/>
      <w:r>
        <w:rPr>
          <w:sz w:val="22"/>
          <w:szCs w:val="22"/>
        </w:rPr>
        <w:t xml:space="preserve"> ma w swojej funkcjonalności także rozbudowę pod względem instytucjonalnym. Przewiduje się (po zakończeniu projektu) rozszerzenie zakresu użytkowników zasilających kolekcję zasobów nauki o kolejne jednostki naukowe (w przypadku braku możliwości zdeponowania zbioru w infrastrukturze centralnej).</w:t>
      </w:r>
    </w:p>
    <w:tbl>
      <w:tblPr>
        <w:tblStyle w:val="a0"/>
        <w:tblW w:w="936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2"/>
        <w:gridCol w:w="2847"/>
        <w:gridCol w:w="3307"/>
      </w:tblGrid>
      <w:tr w:rsidR="00FD5507">
        <w:tc>
          <w:tcPr>
            <w:tcW w:w="3212" w:type="dxa"/>
            <w:shd w:val="clear" w:color="auto" w:fill="E7E6E6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Interesariusz</w:t>
            </w:r>
          </w:p>
        </w:tc>
        <w:tc>
          <w:tcPr>
            <w:tcW w:w="2847" w:type="dxa"/>
            <w:shd w:val="clear" w:color="auto" w:fill="E7E6E6"/>
          </w:tcPr>
          <w:p w:rsidR="00FD5507" w:rsidRDefault="00715BA0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:rsidR="00FD5507" w:rsidRDefault="00715BA0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Szacowana wielkość grupy</w:t>
            </w:r>
          </w:p>
        </w:tc>
      </w:tr>
      <w:tr w:rsidR="00FD5507">
        <w:trPr>
          <w:trHeight w:val="24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Partnerzy w projekcie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konsorcjum tworzy </w:t>
            </w:r>
            <w:r>
              <w:rPr>
                <w:sz w:val="15"/>
                <w:szCs w:val="15"/>
              </w:rPr>
              <w:t>5</w:t>
            </w:r>
            <w:r>
              <w:rPr>
                <w:color w:val="000000"/>
                <w:sz w:val="15"/>
                <w:szCs w:val="15"/>
              </w:rPr>
              <w:t xml:space="preserve"> instytutów badawczych związanych z techniką i technologią w sektorach: rolniczym, drzewnym, transportu, logistyki, materiałoznawstwa, obróbki plastycznej. Stworzenie wspólnego repozytorium, gromadzącego i udostępniającego prace naukowe w/w jednostek daje możliwość łatwej wymiany doświadczeń naukowych, dzielenia się wiedzą i sprzyja współpracy przy interdyscyplinarnych przedsięwzięciach badawczych.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5 instytutów badawczych - ok. 250 pracowników naukowych i badawczo-technicznych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Uczelnie wyższe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z uwagi na profil działalności instytutów tworzących platformę i zasilających ją wynikami własnych prac, jak i dotychczasową współpracę, ważną grupę użytkowników platformy stanowić będą pracownicy naukowi, a także studenci uczelni wyższych, zwłaszcza o profilach technicznym i rolniczym. Wyniki prac działalności badawczo-rozwojowej prowadzonej przez instytuty badawcze są pożądanym źródłem wiedzy w pracy naukowej środowisk akademickich.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18 publicznych uczelni technicznych  (ok. 305.000 studentów),</w:t>
            </w:r>
          </w:p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7 niepublicznych uczelni technicznych (ok. 14.000 studentów),</w:t>
            </w:r>
          </w:p>
          <w:p w:rsidR="00FD5507" w:rsidRDefault="00715BA0">
            <w:pPr>
              <w:ind w:left="27" w:hanging="27"/>
              <w:jc w:val="center"/>
            </w:pPr>
            <w:r>
              <w:rPr>
                <w:sz w:val="15"/>
                <w:szCs w:val="15"/>
              </w:rPr>
              <w:t>6 publicznych uczelni rolniczych (ok. 84.000 studentów),</w:t>
            </w:r>
          </w:p>
          <w:p w:rsidR="00FD5507" w:rsidRDefault="00715BA0">
            <w:pPr>
              <w:ind w:left="27" w:hanging="27"/>
              <w:jc w:val="center"/>
            </w:pPr>
            <w:r>
              <w:rPr>
                <w:sz w:val="15"/>
                <w:szCs w:val="15"/>
              </w:rPr>
              <w:t>pracownicy naukowi uczelni wyższych</w:t>
            </w:r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6 uczelni z kierunkami kształcenia w zakresie projektowania mebli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Instytuty badawcze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utworzenie platformy zasobów wiedzy instytutów badawczych ma w założeniach stanowić asumpt do promocji ich potencjału naukowego i badawczego, umożliwić innym jednostkom tego typu zapoznanie się z dorobkiem publikacyjnym autorów platformy, a w przyszłości umożliwić jej rozbudowę w oparciu o zasilanie zasobami pozostałych instytutów i wspomagać prezentację ich potencjału naukowo-badawczego, transfer </w:t>
            </w:r>
            <w:r>
              <w:rPr>
                <w:color w:val="000000"/>
                <w:sz w:val="15"/>
                <w:szCs w:val="15"/>
              </w:rPr>
              <w:lastRenderedPageBreak/>
              <w:t xml:space="preserve">wiedzy i jej komplementarność. 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proofErr w:type="spellStart"/>
            <w:r>
              <w:rPr>
                <w:sz w:val="2"/>
                <w:szCs w:val="2"/>
              </w:rPr>
              <w:lastRenderedPageBreak/>
              <w:t>asadadsf</w:t>
            </w:r>
            <w:proofErr w:type="spellEnd"/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110 instytutów badawczych (z pominięciem 5 tworzących platformę w ramach projektu) - ok. kilku tysięcy pracowników naukowych i badawczo-technicznych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lastRenderedPageBreak/>
              <w:t>Pozostałe jednostki naukowo-badawcze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na podstawie dotychczasowej współpracy stwierdzić można, że zasoby przewidziane do udostępnienia w ramach projektowanej platformy stanowić będą źródło wiedzy w pracy naukowej i badawczej wśród pracowników: instytutów Polskiej Akademii Nauk, ośrodków badawczo-rozwojowych, ośrodków innowacji.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Kilkanaście instytutów PAN współpracujących bezpośrednio z  instytutami tworzących projekt, 29 ośrodków badawczo-rozwojowych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Środowisko szkolne (ponadgimnazjalne, średnie)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nauczyciele i uczniowie szkół profilowanych o kierunkach rolniczych, </w:t>
            </w:r>
            <w:proofErr w:type="spellStart"/>
            <w:r>
              <w:rPr>
                <w:color w:val="000000"/>
                <w:sz w:val="15"/>
                <w:szCs w:val="15"/>
              </w:rPr>
              <w:t>leśnych,drzewnych</w:t>
            </w:r>
            <w:proofErr w:type="spellEnd"/>
            <w:r>
              <w:rPr>
                <w:color w:val="000000"/>
                <w:sz w:val="15"/>
                <w:szCs w:val="15"/>
              </w:rPr>
              <w:t>,  kolejowych korzystają z opracowań naukowych instytutów badawczych, traktując je jako wiarygodne źródło wiedzy i merytoryczne wsparcie tematyki zajęć.</w:t>
            </w:r>
          </w:p>
        </w:tc>
        <w:tc>
          <w:tcPr>
            <w:tcW w:w="3307" w:type="dxa"/>
          </w:tcPr>
          <w:p w:rsidR="00FD5507" w:rsidRDefault="00715BA0">
            <w:pPr>
              <w:pStyle w:val="Nagwek4"/>
              <w:spacing w:before="0" w:after="0"/>
              <w:ind w:left="0" w:firstLine="0"/>
              <w:outlineLvl w:val="3"/>
            </w:pPr>
            <w:r>
              <w:rPr>
                <w:sz w:val="15"/>
                <w:szCs w:val="15"/>
              </w:rPr>
              <w:t>45 Zespołów Szkół Kształcenia Rolniczego, Krajowe Centrum Edukacji Rolniczej,</w:t>
            </w:r>
          </w:p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23 szkół ponadgimnazjalnych z kierunkami kolejowymi</w:t>
            </w:r>
          </w:p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 xml:space="preserve">ok. 600 szkół </w:t>
            </w:r>
            <w:proofErr w:type="spellStart"/>
            <w:r>
              <w:rPr>
                <w:sz w:val="15"/>
                <w:szCs w:val="15"/>
              </w:rPr>
              <w:t>ponadgimnazjanych</w:t>
            </w:r>
            <w:proofErr w:type="spellEnd"/>
            <w:r>
              <w:rPr>
                <w:sz w:val="15"/>
                <w:szCs w:val="15"/>
              </w:rPr>
              <w:t xml:space="preserve"> z kierunkami meblarskimi i technologią drewna</w:t>
            </w:r>
          </w:p>
          <w:p w:rsidR="00FD5507" w:rsidRDefault="00FD5507">
            <w:pPr>
              <w:jc w:val="center"/>
              <w:rPr>
                <w:i/>
              </w:rPr>
            </w:pP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Podmioty gospodarcze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nstytuty badawcze działają przede wszystkim na potrzeby dużych oraz małych i średnich przedsiębiorstw, stanowiąc zaplecze badawczo-rozwojowe przemysłu. Niezmiernie ważną grupę docelową, do której adresowane będą cyfrowe zasoby wiedzy zgromadzonej na platformie stanowią konstruktorzy, technolodzy i pracownicy działów badawczych przedsiębiorstw przemysłowych branży maszyn i urządzeń rolniczych i leśnych, sektora drzewnego, elektromaszynowego, transportu</w:t>
            </w:r>
            <w:r>
              <w:rPr>
                <w:sz w:val="15"/>
                <w:szCs w:val="15"/>
              </w:rPr>
              <w:t>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4"/>
                <w:szCs w:val="14"/>
              </w:rPr>
              <w:t>Ponad 500.000 podmiotów gospodarczych ujętych w rejestrze REGON (stan na 30.09.2016) wg następujących sektorów: Uprawy rolne, chów i hodowla zwierząt, łowiectwo, włączając działalność usługową (54270),</w:t>
            </w:r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4"/>
                <w:szCs w:val="14"/>
              </w:rPr>
              <w:t>Leśnictwo i pozyskiwanie drewna (19201), Produkcja artykułów spożywczych (33505), Produkcja wyrobów z drewna oraz korka, z wyłączeniem mebli (35863), Produkcja papieru i wyrobów z papieru (5528), Produkcja metali (2392), Produkcja metalowych wyrobów gotowych, z wyłączeniem maszyn i urządzeń (62276), Produkcja urządzeń elektrycznych (4338), Produkcja maszyn i urządzeń, gdzie indziej niesklasyfikowana (9514), Produkcja pozostałego sprzętu transportowego (3612), Produkcja mebli (28386), Transport lądowy oraz transport rurociągowy (230405), Działalność usługowa w zakresie informacji (19072), Badania naukowe i prace rozwojowe (4530)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Indywidualni użytkownicy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zasoby zgromadzone na projektowanej platformie w formule otwartego dostępu sprostają także oczekiwaniom indywidualnych użytkowników, zainteresowanych tematyką np. rolnicy i przedsiębiorcy, którzy mają potrzebę samodzielnego znajdowania innowacyjnych rozwiązań dla swoich gospodarstw i firm.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t>400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Administracja rządowa i samorządowa, samorząd branżowy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instytucje te często wykorzystują wyniki prac instytutów badawczych jako podstawa decyzji gospodarczych w skali makro, </w:t>
            </w:r>
            <w:proofErr w:type="spellStart"/>
            <w:r>
              <w:rPr>
                <w:color w:val="000000"/>
                <w:sz w:val="15"/>
                <w:szCs w:val="15"/>
              </w:rPr>
              <w:t>mezo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i mikro.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t>Organy administracji rządowej i samorządowej w 16 województwach i na szczeblu centralnym, izby branżowe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Zagraniczne jednostki naukowe i przemysłowe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</w:pPr>
            <w:r>
              <w:rPr>
                <w:sz w:val="15"/>
                <w:szCs w:val="15"/>
              </w:rPr>
              <w:t xml:space="preserve">Brak platformy dzielenia się wiedzą - w związku z wprowadzeniem na projektowaną platformę treści </w:t>
            </w:r>
            <w:proofErr w:type="spellStart"/>
            <w:r>
              <w:rPr>
                <w:sz w:val="15"/>
                <w:szCs w:val="15"/>
              </w:rPr>
              <w:t>pełnotekstowych</w:t>
            </w:r>
            <w:proofErr w:type="spellEnd"/>
            <w:r>
              <w:rPr>
                <w:sz w:val="15"/>
                <w:szCs w:val="15"/>
              </w:rPr>
              <w:t xml:space="preserve"> w wersji angielskojęzycznej, przewiduje się udział użytkowników z Europy i ze świata. Z uwagi na prowadzoną współpracę naukowo-badawczą z zagranicznymi instytucjami naukowymi i przedsiębiorstwami, można przyjąć, że udostępnione treści trafią początkowo właśnie do tych jednostek, a w miarę promocji i prowadzenia akcji informacyjnej, liczba zagranicznych </w:t>
            </w:r>
            <w:r>
              <w:rPr>
                <w:sz w:val="15"/>
                <w:szCs w:val="15"/>
              </w:rPr>
              <w:lastRenderedPageBreak/>
              <w:t>użytkowników wzrośnie.</w:t>
            </w:r>
          </w:p>
          <w:p w:rsidR="00FD5507" w:rsidRDefault="00FD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lastRenderedPageBreak/>
              <w:t>ponad 500 jednostek (uczelni, firm, koncernów) zidentyfikowanych na podstawie dotychczasowej, wieloletniej współpracy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Instytucje otoczenia biznesu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Brak platformy dzielenia się wiedzą - instytucje pełniące istotną rolę w procesie dyfuzji technologii oraz wspierania rozwoju innowacyjnej przedsiębiorczości: ośrodki przedsiębiorczości, instytucje finansowe, ośrodki innowacji (parki technologiczne, inkubatory technologiczne, centra transferu technologii), agencje marketingowe, kancelarie prawne, wykorzystujące informacje z projektowanej platformy do analiz biznesowych.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ponad 200 instytucji w ramach ośrodków przedsiębiorczości, instytucji finansowych, ośrodków innowacji;</w:t>
            </w:r>
          </w:p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kilkaset agencji marketingowych i kancelarii prawnych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4"/>
                <w:szCs w:val="14"/>
              </w:rPr>
              <w:t>Dostawcy usług, sprzętu i oprogramowania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Brak platformy dzielenia się wiedzą - p</w:t>
            </w:r>
            <w:r>
              <w:rPr>
                <w:sz w:val="14"/>
                <w:szCs w:val="14"/>
              </w:rPr>
              <w:t>odmioty zainteresowane powstaniem projektowanej platformy w ramach projektu z uwagi na realizację dostaw usług, sprzętu i oprogramowania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4"/>
                <w:szCs w:val="14"/>
              </w:rPr>
              <w:t>10 przedsiębiorstw i instytucji</w:t>
            </w:r>
          </w:p>
        </w:tc>
      </w:tr>
    </w:tbl>
    <w:p w:rsidR="00FD5507" w:rsidRDefault="00715BA0">
      <w:pPr>
        <w:pStyle w:val="Nagwek2"/>
        <w:numPr>
          <w:ilvl w:val="1"/>
          <w:numId w:val="5"/>
        </w:numPr>
        <w:jc w:val="both"/>
      </w:pPr>
      <w:r>
        <w:t xml:space="preserve">Opis stanu obecnego </w:t>
      </w:r>
    </w:p>
    <w:p w:rsidR="00FD5507" w:rsidRDefault="00715BA0">
      <w:pPr>
        <w:ind w:left="705" w:firstLine="705"/>
        <w:jc w:val="both"/>
      </w:pPr>
      <w:r>
        <w:rPr>
          <w:sz w:val="22"/>
          <w:szCs w:val="22"/>
        </w:rPr>
        <w:t>Swobodny i powszechny dostęp do publikacji naukowych jest coraz mocniej podkreślanym punktem w polityce dotyczącej nauki, zarówno na poziomie europejskim, jak i krajowym, a upowszechnianie i promocja dorobku naukowego ściśle związane są z widocznością prac naukowych w globalnej sieci. Instytuty badawcze tworzące Partnerstwo projektowe przez dziesiątki lat swojej działalności zgromadziły ogromne zasoby nauki (sam księgozbiór 5 instytutów obejmuje ponad 100 000 (103 953) pozycji, a całość zinwentaryzowanego zasobu to blisko 260 000 pozycji). Zespoły zajmujące się informacją naukową realizują zadania w zakresie: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administrowania zasobami wiedzy, jej gromadzeniem, porządkowaniem i udostępnianiem w ramach działalności bibliotecznej (wszystkie instytuty w ramach Partnerstwa projektowego prowadzą własne biblioteki naukowe), 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baz tematycznych, 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INOP - cyfryzacji zasobów wiedzy dostępnej wewnętrznie dla pracowników, gromadzonych w repozytoriach </w:t>
      </w:r>
      <w:proofErr w:type="spellStart"/>
      <w:r>
        <w:rPr>
          <w:sz w:val="22"/>
          <w:szCs w:val="22"/>
        </w:rPr>
        <w:t>zdigitalizowanych</w:t>
      </w:r>
      <w:proofErr w:type="spellEnd"/>
      <w:r>
        <w:rPr>
          <w:sz w:val="22"/>
          <w:szCs w:val="22"/>
        </w:rPr>
        <w:t xml:space="preserve"> dokumentów bibliotecznych,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upowszechniania wiedzy za pomocą wydawnictw własnych (czasopisma, monografie).</w:t>
      </w:r>
    </w:p>
    <w:p w:rsidR="00FD5507" w:rsidRDefault="00715BA0">
      <w:pPr>
        <w:ind w:left="705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W pozostałych Instytutach dostęp do części zgromadzonych zasobów odbywa się jedynie w wyznaczonych bibliotekach i czytelniach w ograniczonym zakresie (materiały bieżące lub archiwalne, odpowiednio wcześniej zamówione). To rozwiązanie bardzo mocno ogranicza przepływ innowacji i informacji z jednostek naukowych do przemysłu. Dotychczasowa rozproszona infrastruktura informatyczna przygotowana była do zaspokajania wewnętrznych potrzeb informacyjnych jednostek i nie była przygotowywana do obsługi wielu zapytań i skalowania systemów. Instytuty posiadają ponad 30 dużych baz danych informacji naukowej i badawczej. Niestety bazy te są rozproszone i dostępne w różnych standardach (ISIS, Marc21, MySQL) wymagających ujednolicenia. Instytuty na potrzeby zarządzania pracami badawczymi wdrożyły zintegrowane systemy kontroli obiegu dokumentów (INOP) lub używają oprogramowania do podstawowego zarządzania administracyjno-finansowego pracami B+R (PIMR, ITD, IWNIRZ). </w:t>
      </w:r>
    </w:p>
    <w:p w:rsidR="00FD5507" w:rsidRDefault="00715BA0">
      <w:pPr>
        <w:ind w:left="705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projektu, konsorcjum Partnerów przewiduje umieścić na projektowanej wspólnej platformie </w:t>
      </w:r>
      <w:proofErr w:type="spellStart"/>
      <w:r>
        <w:rPr>
          <w:sz w:val="22"/>
          <w:szCs w:val="22"/>
        </w:rPr>
        <w:t>repozytoryjnej</w:t>
      </w:r>
      <w:proofErr w:type="spellEnd"/>
      <w:r>
        <w:rPr>
          <w:sz w:val="22"/>
          <w:szCs w:val="22"/>
        </w:rPr>
        <w:t xml:space="preserve"> 57% posiadanych zasobów nauki możliwych prawnie do udostępnienia w formule otwartego dostępu - do których konsorcjum posiada prawa własności intelektualnej (monografie własne, artykuły naukowe własne, Normy Branżowe, własne prace naukowo-badawcze, materiały konferencyjne, dokumenty faktograficzne - zdjęcia, filmy, dane </w:t>
      </w:r>
      <w:r>
        <w:rPr>
          <w:sz w:val="22"/>
          <w:szCs w:val="22"/>
        </w:rPr>
        <w:lastRenderedPageBreak/>
        <w:t xml:space="preserve">surowe, ulotki informacyjno-instruktażowe, dokumentacja techniczna). 62% tej kolekcji stanowią dokumenty w formie papierowej, pozostałe 38% do pliki elektroniczne, wymagające dalszej obróbki celem umieszczenia na platformie. Udostępniane nie będą natomiast pozycje zinwentaryzowane w ramach księgozbiorów prac obcych i kolekcji Polskich Norm, do których instytuty nie posiadają praw własności intelektualnej.  </w:t>
      </w:r>
    </w:p>
    <w:p w:rsidR="00FD5507" w:rsidRDefault="00715BA0" w:rsidP="00940CE6">
      <w:pPr>
        <w:pStyle w:val="Nagwek1"/>
        <w:numPr>
          <w:ilvl w:val="0"/>
          <w:numId w:val="16"/>
        </w:numPr>
        <w:jc w:val="both"/>
      </w:pPr>
      <w:bookmarkStart w:id="2" w:name="_1fob9te" w:colFirst="0" w:colLast="0"/>
      <w:bookmarkEnd w:id="2"/>
      <w:r>
        <w:t>EFEKTY PROJEKTU</w:t>
      </w:r>
    </w:p>
    <w:p w:rsidR="00FD5507" w:rsidRDefault="00940CE6" w:rsidP="00940CE6">
      <w:pPr>
        <w:pStyle w:val="Nagwek2"/>
        <w:ind w:left="710" w:firstLine="0"/>
        <w:jc w:val="both"/>
        <w:rPr>
          <w:sz w:val="20"/>
          <w:szCs w:val="20"/>
        </w:rPr>
      </w:pPr>
      <w:bookmarkStart w:id="3" w:name="_3znysh7" w:colFirst="0" w:colLast="0"/>
      <w:bookmarkEnd w:id="3"/>
      <w:r>
        <w:t xml:space="preserve">2.1 </w:t>
      </w:r>
      <w:r w:rsidR="00715BA0">
        <w:t xml:space="preserve">Cele i korzyści wynikające z projektu </w:t>
      </w:r>
    </w:p>
    <w:p w:rsidR="00FD5507" w:rsidRDefault="00715BA0">
      <w:pPr>
        <w:spacing w:after="120"/>
        <w:ind w:firstLine="710"/>
        <w:jc w:val="both"/>
        <w:rPr>
          <w:sz w:val="22"/>
          <w:szCs w:val="22"/>
        </w:rPr>
      </w:pPr>
      <w:r>
        <w:rPr>
          <w:sz w:val="22"/>
          <w:szCs w:val="22"/>
        </w:rPr>
        <w:t>Cele projektu zostały wyrażone adekwatnymi i mierzalnymi wskaźnikami. Poza obligatoryjnymi wskaźnikami (zaznaczone pogrubioną czcionką), określono dodatkowe – adekwatne do specyfiki projektu.</w:t>
      </w:r>
    </w:p>
    <w:tbl>
      <w:tblPr>
        <w:tblStyle w:val="a1"/>
        <w:tblW w:w="9497" w:type="dxa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8080"/>
      </w:tblGrid>
      <w:tr w:rsidR="00FD5507">
        <w:trPr>
          <w:trHeight w:val="3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- 1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Udostępnienie zasobów nauki instytutów badawczych wchodzących w skład Partnerstwa projektowego</w:t>
            </w:r>
          </w:p>
        </w:tc>
      </w:tr>
      <w:tr w:rsidR="00FD5507">
        <w:trPr>
          <w:trHeight w:val="3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dostępu do zasobów nauki (wcześniej dostępnych jedynie “na miejscu” lub w ogóle nie udostępnianych)</w:t>
            </w:r>
          </w:p>
        </w:tc>
      </w:tr>
      <w:tr w:rsidR="00FD5507">
        <w:trPr>
          <w:trHeight w:val="26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Liczba odwiedzin platformy</w:t>
            </w:r>
          </w:p>
        </w:tc>
      </w:tr>
      <w:tr w:rsidR="00FD5507">
        <w:trPr>
          <w:trHeight w:val="46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25 000</w:t>
            </w:r>
          </w:p>
        </w:tc>
      </w:tr>
      <w:tr w:rsidR="00FD5507">
        <w:trPr>
          <w:trHeight w:val="72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statystyki odwiedzin na stronie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 odczyt statystyk odwiedzin na stronie - w ujęciu półrocznym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- 1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Udostępnienie zasobów nauki instytutów badawczych wchodzących w skład Partnerstwa projektowego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dostępu do zasobów nauki (wcześniej dostępnych jedynie “na miejscu” lub w ogóle nie udostępnianych)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rPr>
                <w:b/>
              </w:rPr>
            </w:pPr>
            <w:bookmarkStart w:id="4" w:name="_2et92p0" w:colFirst="0" w:colLast="0"/>
            <w:bookmarkEnd w:id="4"/>
            <w:r>
              <w:rPr>
                <w:b/>
              </w:rPr>
              <w:t>Liczba udostępnionych on-line dokumentów zawierających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25 860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analiza statystyk na stronie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lastRenderedPageBreak/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odczyt statystyk na stronie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- 2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Popularyzacja działalności i dorobku naukowego instytutów badawczych poprzez ułatwienie dostępu do informacji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Wzrost liczby odbiorców wyników prac oraz rozszerzenie współpracy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rPr>
                <w:b/>
              </w:rPr>
            </w:pPr>
            <w:r>
              <w:rPr>
                <w:b/>
              </w:rPr>
              <w:t>Liczba podmiotów, które udostępniły on-line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identyfikacja podmiotów umieszczających zasoby nauki na wspólnej platformie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identyfikacja podmiotów umieszczających zasoby nauki na wspólnej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- 3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Wzmocnienie wizerunku instytutów badawczych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Wzrost liczby odbiorców wyników prac oraz rozszerzenie współpracy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Liczba podmiotów, które udostępniły informacje na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identyfikacja podmiotów umieszczających zasoby nauki na wspólnej platformie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identyfikacja podmiotów umieszczających zasoby nauki na wspólnej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- 4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Ochrona materiałów poprzez archiwizację i możliwość długoterminowego przechowywania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Zachowanie i możliwość udostępnienia zasobów nauki, które z uwagi na stan techniczny (przed digitalizacją) nie mogłyby być udostępnione szerszemu kręgowi odbiorców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 xml:space="preserve">Liczba </w:t>
            </w:r>
            <w:proofErr w:type="spellStart"/>
            <w:r>
              <w:rPr>
                <w:b/>
              </w:rPr>
              <w:t>zdigitalizowanych</w:t>
            </w:r>
            <w:proofErr w:type="spellEnd"/>
            <w:r>
              <w:rPr>
                <w:b/>
              </w:rPr>
              <w:t xml:space="preserve"> dokumentów zawierających informacje sektora publicznego </w:t>
            </w:r>
          </w:p>
        </w:tc>
      </w:tr>
      <w:tr w:rsidR="00FD5507">
        <w:trPr>
          <w:trHeight w:val="92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lastRenderedPageBreak/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25 860 sztuk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 xml:space="preserve">Sposób pomiaru: identyfikacja liczby </w:t>
            </w:r>
            <w:proofErr w:type="spellStart"/>
            <w:r>
              <w:t>zdigitalizowanych</w:t>
            </w:r>
            <w:proofErr w:type="spellEnd"/>
            <w:r>
              <w:t xml:space="preserve"> dokumentów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analiza statystyk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- 6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Wzrost liczby </w:t>
            </w:r>
            <w:proofErr w:type="spellStart"/>
            <w:r>
              <w:t>cytowań</w:t>
            </w:r>
            <w:proofErr w:type="spellEnd"/>
            <w:r>
              <w:t xml:space="preserve"> udostępnionych publikacji naukowych pracowników instytutów badawczych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zapoznania się i wykorzystania dorobku pracowników instytutów badawczych w badaniach naukowych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rPr>
                <w:b/>
              </w:rPr>
            </w:pPr>
            <w:r>
              <w:rPr>
                <w:b/>
              </w:rPr>
              <w:t>Liczba pobrań/</w:t>
            </w:r>
            <w:proofErr w:type="spellStart"/>
            <w:r>
              <w:rPr>
                <w:b/>
              </w:rPr>
              <w:t>odtworzeń</w:t>
            </w:r>
            <w:proofErr w:type="spellEnd"/>
            <w:r>
              <w:rPr>
                <w:b/>
              </w:rPr>
              <w:t xml:space="preserve"> dokumentów zawierających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5 000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analiza statystyk portalu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analiza statystyk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- 7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Wsparcie techniczne dla odbiorców poprzez zastosowanie odpowiednich wyszukiwarek, cyfrowych katalogów tematycznych, narzędzi analitycznych</w:t>
            </w:r>
          </w:p>
          <w:p w:rsidR="00FD5507" w:rsidRDefault="00FD5507">
            <w:pPr>
              <w:jc w:val="both"/>
            </w:pP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analizy dokumentów i skrócenie czasu dostępu do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rPr>
                <w:b/>
              </w:rPr>
            </w:pPr>
            <w:r>
              <w:rPr>
                <w:b/>
              </w:rPr>
              <w:t>Liczba baz danych udostępnionych on-line poprzez API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identyfikacja liczby baz danych na portalu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identyfikacja liczby baz danych na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lastRenderedPageBreak/>
              <w:t>Cel - 8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Budowa społeczeństwa informacyjnego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Ułatwienie dostępu do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Liczba odwiedzin platformy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25 000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statystyki odwiedzin na stronie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odczyt statystyk odwiedzin na stronie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- 9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>Opracowanie i przyjęcie własnej instytucjonalnej polityki w zakresie otwartego dostępu, określającej zasady publikowania w otwartym dostępie wyników badań</w:t>
            </w:r>
          </w:p>
          <w:p w:rsidR="00FD5507" w:rsidRDefault="00FD5507">
            <w:pPr>
              <w:jc w:val="both"/>
            </w:pP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 xml:space="preserve">Zapewnienie przejrzystości w zakresie stanu prawnego udostępnianych na wspólnej platformie </w:t>
            </w:r>
            <w:proofErr w:type="spellStart"/>
            <w:r>
              <w:t>repozytoryjnej</w:t>
            </w:r>
            <w:proofErr w:type="spellEnd"/>
            <w:r>
              <w:t xml:space="preserve">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Liczba polityk instytucjonalnych w zakresie otwartego dostępu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Identyfikacja liczby wdrożonych polityk w zakresie otwartego dostępu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 xml:space="preserve">Dokument zarządczy raportujący wskaźnik: raport Komitetu Sterującego (1 raz na 2 kwartały) lub (jeżeli nastąpi to po zakończeniu projektu, w okresie jego trwałości - odpowiedni raport w generatorze dedykowanym obsłudze projektu) 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Identyfikacja liczby wdrożonych polityk w zakresie otwartego dostępu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Cel - 10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Udostępnienie informacji odbiorcom poprzez zastosowanie odpowiednich algorytmów wspomagających kwerendowanie danych 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analizy dokumentów i skrócenie czasu dostępu do zasobów nauki</w:t>
            </w:r>
          </w:p>
        </w:tc>
      </w:tr>
      <w:tr w:rsidR="00FD5507">
        <w:trPr>
          <w:trHeight w:val="5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rPr>
                <w:b/>
              </w:rPr>
            </w:pPr>
            <w:r>
              <w:rPr>
                <w:b/>
              </w:rPr>
              <w:t>Liczba utworzonych API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lastRenderedPageBreak/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4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Sposób pomiaru: identyfikacja liczby API</w:t>
            </w:r>
          </w:p>
          <w:p w:rsidR="00FD5507" w:rsidRDefault="00715BA0">
            <w:pPr>
              <w:spacing w:after="120"/>
              <w:ind w:left="34"/>
              <w:jc w:val="both"/>
              <w:rPr>
                <w:color w:val="FF0000"/>
              </w:rPr>
            </w:pPr>
            <w:r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  <w:rPr>
                <w:color w:val="FF0000"/>
              </w:rPr>
            </w:pPr>
            <w:r>
              <w:t>Metoda pomiaru: identyfikacja liczby API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830030" w:rsidRDefault="00830030" w:rsidP="0083003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Założenia techniczne projektu </w:t>
      </w:r>
      <w:proofErr w:type="spellStart"/>
      <w:r>
        <w:rPr>
          <w:sz w:val="22"/>
          <w:szCs w:val="22"/>
        </w:rPr>
        <w:t>Digitarium</w:t>
      </w:r>
      <w:proofErr w:type="spellEnd"/>
      <w:r>
        <w:rPr>
          <w:sz w:val="22"/>
          <w:szCs w:val="22"/>
        </w:rPr>
        <w:t xml:space="preserve"> w pełni umożliwiają łatwy </w:t>
      </w:r>
      <w:proofErr w:type="spellStart"/>
      <w:r>
        <w:rPr>
          <w:sz w:val="22"/>
          <w:szCs w:val="22"/>
        </w:rPr>
        <w:t>przesył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zdigitalizowanego</w:t>
      </w:r>
      <w:proofErr w:type="spellEnd"/>
      <w:r>
        <w:rPr>
          <w:sz w:val="22"/>
          <w:szCs w:val="22"/>
        </w:rPr>
        <w:t xml:space="preserve"> zbioru i bezpieczną integrację w infrastrukturze centralnej. Na podstawie dialogu prowadzonego z autorami projektu KRONIK@ określono standardy współpracy i komunikacji w zakresie integracji zasobów platformy </w:t>
      </w:r>
      <w:proofErr w:type="spellStart"/>
      <w:r>
        <w:rPr>
          <w:sz w:val="22"/>
          <w:szCs w:val="22"/>
        </w:rPr>
        <w:t>Digitarium</w:t>
      </w:r>
      <w:proofErr w:type="spellEnd"/>
      <w:r>
        <w:rPr>
          <w:sz w:val="22"/>
          <w:szCs w:val="22"/>
        </w:rPr>
        <w:t xml:space="preserve"> z infrastrukturą KRONIK@. W efekcie rozmów, określono następujące wytyczne integracji</w:t>
      </w:r>
      <w:r w:rsidRPr="00061C9E">
        <w:rPr>
          <w:rFonts w:ascii="Calibri" w:eastAsia="Times New Roman" w:hAnsi="Calibri" w:cs="Calibri"/>
          <w:sz w:val="22"/>
          <w:szCs w:val="22"/>
          <w:lang w:eastAsia="en-US"/>
        </w:rPr>
        <w:t xml:space="preserve"> </w:t>
      </w:r>
      <w:r w:rsidRPr="00061C9E">
        <w:rPr>
          <w:rFonts w:eastAsia="Times New Roman"/>
          <w:sz w:val="22"/>
          <w:szCs w:val="22"/>
          <w:lang w:eastAsia="en-US"/>
        </w:rPr>
        <w:t>(z</w:t>
      </w:r>
      <w:r w:rsidRPr="00061C9E">
        <w:rPr>
          <w:rFonts w:eastAsia="Times New Roman"/>
          <w:color w:val="000000"/>
          <w:sz w:val="22"/>
          <w:szCs w:val="22"/>
        </w:rPr>
        <w:t>e względu na wczesny etap inicjalizacji projektu nie jest możliwe podanie dokładnych standardów integracyjnych projektów. Jednakże ze względu na to iż projekt Kronik@ jest projektem typu „</w:t>
      </w:r>
      <w:proofErr w:type="spellStart"/>
      <w:r w:rsidRPr="00061C9E">
        <w:rPr>
          <w:rFonts w:eastAsia="Times New Roman"/>
          <w:color w:val="000000"/>
          <w:sz w:val="22"/>
          <w:szCs w:val="22"/>
        </w:rPr>
        <w:t>reuse</w:t>
      </w:r>
      <w:proofErr w:type="spellEnd"/>
      <w:r w:rsidRPr="00061C9E">
        <w:rPr>
          <w:rFonts w:eastAsia="Times New Roman"/>
          <w:color w:val="000000"/>
          <w:sz w:val="22"/>
          <w:szCs w:val="22"/>
        </w:rPr>
        <w:t>” możliwe jest wskazanie podstawowych standardów integracji)</w:t>
      </w:r>
      <w:r w:rsidRPr="00061C9E">
        <w:rPr>
          <w:sz w:val="22"/>
          <w:szCs w:val="22"/>
        </w:rPr>
        <w:t>:</w:t>
      </w:r>
    </w:p>
    <w:p w:rsidR="00830030" w:rsidRPr="00061C9E" w:rsidRDefault="00830030" w:rsidP="00830030">
      <w:pPr>
        <w:rPr>
          <w:rFonts w:eastAsia="Times New Roman"/>
          <w:sz w:val="22"/>
          <w:szCs w:val="22"/>
          <w:lang w:eastAsia="en-US"/>
        </w:rPr>
      </w:pP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 xml:space="preserve">Możliwe są dwa poziomy integracji z Kronik@. Pierwszy dotyczy integracji tylko spisu metadanych. Drugi dotyczy integracji metadanych oraz plików obiektów (w celu utrzymania wyników projektów i ich głębokiej archiwizacji).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Integracja z Kronik@ będzie odbywała się na dwóch poziomach. A) integracja na poziomie wymiany obiektów bezpośrednio w bazie danych. B) integracja na poziomie API (REST API zgodnie ze standardem dla danych publicznych). Rekomendowane rozwiązanie B .</w:t>
      </w:r>
    </w:p>
    <w:p w:rsidR="00830030" w:rsidRPr="00061C9E" w:rsidRDefault="00830030" w:rsidP="00830030">
      <w:pPr>
        <w:numPr>
          <w:ilvl w:val="0"/>
          <w:numId w:val="19"/>
        </w:numPr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API systemów będzie zgodne z Standardem API danych publicznych (</w:t>
      </w:r>
      <w:hyperlink r:id="rId8" w:history="1">
        <w:r w:rsidRPr="00061C9E">
          <w:rPr>
            <w:rFonts w:eastAsia="Times New Roman"/>
            <w:color w:val="954F72"/>
            <w:sz w:val="22"/>
            <w:szCs w:val="22"/>
            <w:u w:val="single"/>
          </w:rPr>
          <w:t>https://www.gov.pl/web/cyfryzacja/standard-interfejsu-programistycznego-aplikacji-api</w:t>
        </w:r>
      </w:hyperlink>
      <w:r w:rsidRPr="00061C9E">
        <w:rPr>
          <w:rFonts w:eastAsia="Times New Roman"/>
          <w:color w:val="000000"/>
          <w:sz w:val="22"/>
          <w:szCs w:val="22"/>
        </w:rPr>
        <w:t xml:space="preserve">)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 xml:space="preserve">Każdy obiekt będzie opisany zgodnie z a) podstawowych metadanych zgodnych z  Dublin </w:t>
      </w:r>
      <w:proofErr w:type="spellStart"/>
      <w:r w:rsidRPr="00061C9E">
        <w:rPr>
          <w:rFonts w:eastAsia="Times New Roman"/>
          <w:color w:val="000000"/>
          <w:sz w:val="22"/>
          <w:szCs w:val="22"/>
        </w:rPr>
        <w:t>Core</w:t>
      </w:r>
      <w:proofErr w:type="spellEnd"/>
      <w:r w:rsidRPr="00061C9E">
        <w:rPr>
          <w:rFonts w:eastAsia="Times New Roman"/>
          <w:color w:val="000000"/>
          <w:sz w:val="22"/>
          <w:szCs w:val="22"/>
        </w:rPr>
        <w:t xml:space="preserve"> (</w:t>
      </w:r>
      <w:hyperlink r:id="rId9" w:history="1">
        <w:r w:rsidRPr="00061C9E">
          <w:rPr>
            <w:rFonts w:eastAsia="Times New Roman"/>
            <w:color w:val="954F72"/>
            <w:sz w:val="22"/>
            <w:szCs w:val="22"/>
            <w:u w:val="single"/>
          </w:rPr>
          <w:t>https://pl.wikipedia.org/wiki/Dublin_Core</w:t>
        </w:r>
      </w:hyperlink>
      <w:r w:rsidRPr="00061C9E">
        <w:rPr>
          <w:rFonts w:eastAsia="Times New Roman"/>
          <w:color w:val="000000"/>
          <w:sz w:val="22"/>
          <w:szCs w:val="22"/>
        </w:rPr>
        <w:t xml:space="preserve">) oraz innymi wspieranymi standardami opisów obiektów kultury i nauki (jako metadane rozszerzone).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Kronik@ będzie wspierać wiele słowników opisu i zarządzania metadanych. Pełna mapa standardów będzie przedstawiona w pierwszej fazie realizacji projektu w szczegółowym podziale na standardy opisu, zarządzania oraz prezentacji obiektów.</w:t>
      </w:r>
    </w:p>
    <w:p w:rsidR="00830030" w:rsidRDefault="00830030">
      <w:pPr>
        <w:rPr>
          <w:color w:val="000000"/>
        </w:rPr>
      </w:pPr>
      <w:r>
        <w:rPr>
          <w:color w:val="000000"/>
        </w:rPr>
        <w:br w:type="page"/>
      </w:r>
    </w:p>
    <w:p w:rsidR="00FD5507" w:rsidRDefault="00715BA0">
      <w:pPr>
        <w:pStyle w:val="Nagwek2"/>
        <w:numPr>
          <w:ilvl w:val="1"/>
          <w:numId w:val="3"/>
        </w:numPr>
        <w:tabs>
          <w:tab w:val="left" w:pos="4962"/>
        </w:tabs>
        <w:spacing w:after="360"/>
      </w:pPr>
      <w:bookmarkStart w:id="5" w:name="_tyjcwt" w:colFirst="0" w:colLast="0"/>
      <w:bookmarkEnd w:id="5"/>
      <w:r>
        <w:lastRenderedPageBreak/>
        <w:t xml:space="preserve">Udostępnione e-usługi </w:t>
      </w:r>
    </w:p>
    <w:tbl>
      <w:tblPr>
        <w:tblStyle w:val="a2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418"/>
        <w:gridCol w:w="709"/>
        <w:gridCol w:w="4394"/>
        <w:gridCol w:w="1843"/>
      </w:tblGrid>
      <w:tr w:rsidR="00FD5507">
        <w:tc>
          <w:tcPr>
            <w:tcW w:w="525" w:type="dxa"/>
            <w:shd w:val="clear" w:color="auto" w:fill="E7E6E6"/>
          </w:tcPr>
          <w:p w:rsidR="00FD5507" w:rsidRDefault="00715BA0">
            <w:pPr>
              <w:jc w:val="center"/>
            </w:pPr>
            <w:r>
              <w:t>Lp.</w:t>
            </w:r>
          </w:p>
        </w:tc>
        <w:tc>
          <w:tcPr>
            <w:tcW w:w="2418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Nazwa </w:t>
            </w:r>
            <w:r>
              <w:br/>
              <w:t xml:space="preserve">e-usługi </w:t>
            </w:r>
          </w:p>
        </w:tc>
        <w:tc>
          <w:tcPr>
            <w:tcW w:w="709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Typ </w:t>
            </w:r>
            <w:r>
              <w:br/>
            </w:r>
          </w:p>
        </w:tc>
        <w:tc>
          <w:tcPr>
            <w:tcW w:w="4394" w:type="dxa"/>
            <w:shd w:val="clear" w:color="auto" w:fill="E7E6E6"/>
          </w:tcPr>
          <w:p w:rsidR="00FD5507" w:rsidRDefault="00715BA0">
            <w:pPr>
              <w:jc w:val="center"/>
            </w:pPr>
            <w:r>
              <w:t>Zakres oddziaływania</w:t>
            </w:r>
          </w:p>
        </w:tc>
        <w:tc>
          <w:tcPr>
            <w:tcW w:w="1843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Poziom dojrzałości </w:t>
            </w:r>
            <w:r>
              <w:br/>
              <w:t>e-usługi</w:t>
            </w:r>
            <w:r>
              <w:rPr>
                <w:vertAlign w:val="superscript"/>
              </w:rPr>
              <w:footnoteReference w:id="1"/>
            </w:r>
          </w:p>
          <w:p w:rsidR="00FD5507" w:rsidRDefault="00715BA0">
            <w:pPr>
              <w:jc w:val="center"/>
            </w:pPr>
            <w:r>
              <w:t xml:space="preserve">(nie dotyczy procesów </w:t>
            </w:r>
            <w:proofErr w:type="spellStart"/>
            <w:r>
              <w:t>back-office</w:t>
            </w:r>
            <w:proofErr w:type="spellEnd"/>
            <w:r>
              <w:t>)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1.</w:t>
            </w:r>
          </w:p>
        </w:tc>
        <w:tc>
          <w:tcPr>
            <w:tcW w:w="2418" w:type="dxa"/>
          </w:tcPr>
          <w:p w:rsidR="00FD5507" w:rsidRDefault="00715BA0">
            <w:r>
              <w:rPr>
                <w:highlight w:val="white"/>
              </w:rPr>
              <w:t>Usługa publikacji informacji o wdrożeniach badań B+R</w:t>
            </w:r>
          </w:p>
        </w:tc>
        <w:tc>
          <w:tcPr>
            <w:tcW w:w="709" w:type="dxa"/>
          </w:tcPr>
          <w:p w:rsidR="00FD5507" w:rsidRDefault="00FD5507">
            <w:pPr>
              <w:jc w:val="center"/>
            </w:pPr>
          </w:p>
          <w:p w:rsidR="00FD5507" w:rsidRDefault="00715BA0">
            <w:pPr>
              <w:jc w:val="center"/>
            </w:pPr>
            <w:r>
              <w:t>A2A</w:t>
            </w:r>
          </w:p>
          <w:p w:rsidR="00FD5507" w:rsidRDefault="00715BA0">
            <w:pPr>
              <w:jc w:val="center"/>
            </w:pPr>
            <w:r>
              <w:t>A2B</w:t>
            </w:r>
          </w:p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Administracja publiczna, aktualizacja systemów PBN, przedsiębiorstwa poszukujące partnerów lub innowacyjnych produktów do wdrożenia, sfera nauki poszukująca informacji o trendach i nowościach z tematyki prac instytutów lub pragnąca taką informację zamieścić.</w:t>
            </w:r>
          </w:p>
          <w:p w:rsidR="00FD5507" w:rsidRDefault="00715BA0">
            <w:r>
              <w:t>Szacowana liczba użytkowników: 25 tys./rok</w:t>
            </w:r>
          </w:p>
        </w:tc>
        <w:tc>
          <w:tcPr>
            <w:tcW w:w="1843" w:type="dxa"/>
          </w:tcPr>
          <w:p w:rsidR="00FD5507" w:rsidRDefault="00FD5507">
            <w:pPr>
              <w:jc w:val="center"/>
            </w:pPr>
          </w:p>
          <w:p w:rsidR="00FD5507" w:rsidRDefault="00715BA0">
            <w:pPr>
              <w:jc w:val="center"/>
            </w:pPr>
            <w:r>
              <w:t>nie dotyczy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2.</w:t>
            </w:r>
          </w:p>
        </w:tc>
        <w:tc>
          <w:tcPr>
            <w:tcW w:w="2418" w:type="dxa"/>
          </w:tcPr>
          <w:p w:rsidR="00FD5507" w:rsidRDefault="00715BA0">
            <w:pPr>
              <w:jc w:val="center"/>
            </w:pPr>
            <w:r>
              <w:rPr>
                <w:highlight w:val="white"/>
              </w:rPr>
              <w:t>e-archiwum techniki (elektroniczny dostęp do prac archiwalnych od roku 1946)</w:t>
            </w:r>
          </w:p>
        </w:tc>
        <w:tc>
          <w:tcPr>
            <w:tcW w:w="709" w:type="dxa"/>
          </w:tcPr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Poszukiwanie informacji ze sfery nauki (studenci, uczniowie, nauczyciele wszystkich stopni nauczania)</w:t>
            </w:r>
          </w:p>
          <w:p w:rsidR="00FD5507" w:rsidRDefault="00715BA0">
            <w:r>
              <w:t>Liczba użytkowników: 15 tys./rok.</w:t>
            </w:r>
          </w:p>
        </w:tc>
        <w:tc>
          <w:tcPr>
            <w:tcW w:w="1843" w:type="dxa"/>
          </w:tcPr>
          <w:p w:rsidR="00FD5507" w:rsidRDefault="00715BA0">
            <w:pPr>
              <w:jc w:val="center"/>
            </w:pPr>
            <w:r>
              <w:t>nie dotyczy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3.</w:t>
            </w:r>
          </w:p>
        </w:tc>
        <w:tc>
          <w:tcPr>
            <w:tcW w:w="2418" w:type="dxa"/>
          </w:tcPr>
          <w:p w:rsidR="00FD5507" w:rsidRDefault="00715BA0">
            <w:pPr>
              <w:jc w:val="center"/>
            </w:pPr>
            <w:proofErr w:type="spellStart"/>
            <w:r>
              <w:rPr>
                <w:highlight w:val="white"/>
              </w:rPr>
              <w:t>Journals</w:t>
            </w:r>
            <w:proofErr w:type="spellEnd"/>
          </w:p>
          <w:p w:rsidR="00FD5507" w:rsidRDefault="00715BA0">
            <w:pPr>
              <w:jc w:val="center"/>
            </w:pPr>
            <w:r>
              <w:rPr>
                <w:highlight w:val="white"/>
              </w:rPr>
              <w:t xml:space="preserve">(wyszukiwanie i możliwość publikacji w anglojęzycznych wersjach </w:t>
            </w:r>
            <w:r>
              <w:t>6 czasopism n</w:t>
            </w:r>
            <w:r>
              <w:rPr>
                <w:highlight w:val="white"/>
              </w:rPr>
              <w:t>aukowych</w:t>
            </w:r>
          </w:p>
        </w:tc>
        <w:tc>
          <w:tcPr>
            <w:tcW w:w="709" w:type="dxa"/>
          </w:tcPr>
          <w:p w:rsidR="00FD5507" w:rsidRDefault="00715BA0">
            <w:pPr>
              <w:jc w:val="center"/>
            </w:pPr>
            <w:r>
              <w:t>A2B</w:t>
            </w:r>
          </w:p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Sfera biznesu i nauki poszukuje i publikuje informacje o innowacyjnych produktach i usługach.</w:t>
            </w:r>
          </w:p>
          <w:p w:rsidR="00FD5507" w:rsidRDefault="00715BA0">
            <w:r>
              <w:t>Szacowana liczba użytkowników: 60 tys./rok</w:t>
            </w:r>
          </w:p>
        </w:tc>
        <w:tc>
          <w:tcPr>
            <w:tcW w:w="1843" w:type="dxa"/>
          </w:tcPr>
          <w:p w:rsidR="00FD5507" w:rsidRDefault="00715BA0">
            <w:pPr>
              <w:jc w:val="center"/>
            </w:pPr>
            <w:r>
              <w:t>nie dotyczy</w:t>
            </w:r>
          </w:p>
        </w:tc>
      </w:tr>
    </w:tbl>
    <w:p w:rsidR="00FD5507" w:rsidRDefault="00FD5507">
      <w:pPr>
        <w:pStyle w:val="Nagwek2"/>
        <w:spacing w:after="0"/>
        <w:ind w:left="0" w:firstLine="0"/>
      </w:pPr>
    </w:p>
    <w:p w:rsidR="00FD5507" w:rsidRDefault="00715BA0">
      <w:pPr>
        <w:pStyle w:val="Nagwek2"/>
        <w:numPr>
          <w:ilvl w:val="1"/>
          <w:numId w:val="4"/>
        </w:numPr>
        <w:spacing w:after="360"/>
      </w:pPr>
      <w:r>
        <w:t xml:space="preserve">Udostępnione informacje sektora publicznego i </w:t>
      </w:r>
      <w:proofErr w:type="spellStart"/>
      <w:r>
        <w:t>zdigitalizowane</w:t>
      </w:r>
      <w:proofErr w:type="spellEnd"/>
      <w:r>
        <w:t xml:space="preserve"> zasoby </w:t>
      </w:r>
    </w:p>
    <w:p w:rsidR="00FD5507" w:rsidRDefault="00715BA0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  <w:r>
        <w:rPr>
          <w:color w:val="000000"/>
        </w:rPr>
        <w:t xml:space="preserve">Czy wszystkie </w:t>
      </w:r>
      <w:proofErr w:type="spellStart"/>
      <w:r>
        <w:rPr>
          <w:color w:val="000000"/>
        </w:rPr>
        <w:t>zdigitalizowane</w:t>
      </w:r>
      <w:proofErr w:type="spellEnd"/>
      <w:r>
        <w:rPr>
          <w:color w:val="000000"/>
        </w:rPr>
        <w:t xml:space="preserve"> zasoby objęte projektem będą udostępniane bezpłatnie? TAK/</w:t>
      </w:r>
      <w:r>
        <w:rPr>
          <w:strike/>
          <w:color w:val="000000"/>
        </w:rPr>
        <w:t xml:space="preserve">NIE </w:t>
      </w:r>
      <w:r>
        <w:rPr>
          <w:strike/>
          <w:color w:val="000000"/>
          <w:vertAlign w:val="superscript"/>
        </w:rPr>
        <w:footnoteReference w:id="2"/>
      </w:r>
    </w:p>
    <w:tbl>
      <w:tblPr>
        <w:tblStyle w:val="a3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2410"/>
        <w:gridCol w:w="4111"/>
      </w:tblGrid>
      <w:tr w:rsidR="00FD5507">
        <w:tc>
          <w:tcPr>
            <w:tcW w:w="3118" w:type="dxa"/>
            <w:shd w:val="clear" w:color="auto" w:fill="E7E6E6"/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</w:t>
            </w:r>
          </w:p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informacji / 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Planowana data udostępnienia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Szacowana liczba obiektów  objętych digitalizacją (udostępnianiem informacji)</w:t>
            </w:r>
          </w:p>
          <w:p w:rsidR="00FD5507" w:rsidRDefault="00FD5507">
            <w:pPr>
              <w:jc w:val="center"/>
              <w:rPr>
                <w:b/>
              </w:rPr>
            </w:pPr>
          </w:p>
        </w:tc>
      </w:tr>
      <w:tr w:rsidR="00FD5507">
        <w:trPr>
          <w:trHeight w:val="220"/>
        </w:trPr>
        <w:tc>
          <w:tcPr>
            <w:tcW w:w="3118" w:type="dxa"/>
          </w:tcPr>
          <w:p w:rsidR="00FD5507" w:rsidRDefault="00715BA0">
            <w:pPr>
              <w:rPr>
                <w:color w:val="0070C0"/>
              </w:rPr>
            </w:pPr>
            <w:r>
              <w:t>Monografie własne</w:t>
            </w:r>
          </w:p>
        </w:tc>
        <w:tc>
          <w:tcPr>
            <w:tcW w:w="2410" w:type="dxa"/>
          </w:tcPr>
          <w:p w:rsidR="00FD5507" w:rsidRPr="00940CE6" w:rsidRDefault="00940CE6" w:rsidP="00940CE6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</w:t>
            </w:r>
            <w:r w:rsidRPr="00940CE6">
              <w:rPr>
                <w:sz w:val="18"/>
                <w:szCs w:val="18"/>
              </w:rPr>
              <w:t>03.2022</w:t>
            </w:r>
          </w:p>
        </w:tc>
        <w:tc>
          <w:tcPr>
            <w:tcW w:w="4111" w:type="dxa"/>
          </w:tcPr>
          <w:p w:rsidR="00FD5507" w:rsidRDefault="00715BA0">
            <w:pPr>
              <w:jc w:val="center"/>
              <w:rPr>
                <w:color w:val="948A54"/>
                <w:sz w:val="18"/>
                <w:szCs w:val="18"/>
              </w:rPr>
            </w:pPr>
            <w:r>
              <w:t>113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Prace naukowo-badawcze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8402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Artykuły naukowe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6481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Normy branżowe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1 000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Materiały konferencyjne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570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 xml:space="preserve">Dokumenty faktograficzne (zdjęcia, </w:t>
            </w:r>
            <w:r>
              <w:lastRenderedPageBreak/>
              <w:t>filmy, dane badawcze, ulotki informacyjno-instruktażowe)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lastRenderedPageBreak/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8877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lastRenderedPageBreak/>
              <w:t>Dokumentacja konstrukcyjna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417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Razem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rPr>
                <w:b/>
              </w:rPr>
              <w:t>25 860</w:t>
            </w:r>
          </w:p>
        </w:tc>
      </w:tr>
    </w:tbl>
    <w:p w:rsidR="00FD5507" w:rsidRDefault="00FD5507">
      <w:pPr>
        <w:pStyle w:val="Nagwek2"/>
        <w:keepNext/>
        <w:keepLines/>
        <w:spacing w:before="40" w:line="256" w:lineRule="auto"/>
        <w:ind w:left="786" w:right="0" w:firstLine="0"/>
      </w:pPr>
    </w:p>
    <w:p w:rsidR="00FD5507" w:rsidRDefault="00715BA0">
      <w:pPr>
        <w:pStyle w:val="Nagwek2"/>
        <w:keepLines/>
        <w:spacing w:before="40" w:line="256" w:lineRule="auto"/>
        <w:ind w:left="0" w:firstLine="720"/>
      </w:pPr>
      <w:r>
        <w:t>2.4</w:t>
      </w:r>
      <w:r>
        <w:tab/>
        <w:t xml:space="preserve">Produkty końcowe projektu 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ind w:left="900" w:hanging="900"/>
        <w:rPr>
          <w:color w:val="0070C0"/>
          <w:sz w:val="22"/>
          <w:szCs w:val="22"/>
        </w:rPr>
      </w:pPr>
    </w:p>
    <w:tbl>
      <w:tblPr>
        <w:tblStyle w:val="a4"/>
        <w:tblW w:w="963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2"/>
        <w:gridCol w:w="2126"/>
        <w:gridCol w:w="2013"/>
        <w:gridCol w:w="1411"/>
      </w:tblGrid>
      <w:tr w:rsidR="00FD5507"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Planowana data wdrożenia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Wartość  docelowa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rPr>
                <w:color w:val="0070C0"/>
              </w:rPr>
            </w:pP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rPr>
                <w:color w:val="0070C0"/>
              </w:rPr>
            </w:pPr>
            <w:r>
              <w:t>Liczba podmiotów, które udostępniły  on-line informacje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  <w:rPr>
                <w:color w:val="0070C0"/>
              </w:rPr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  <w:rPr>
                <w:color w:val="0070C0"/>
              </w:rPr>
            </w:pPr>
            <w: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 xml:space="preserve">Liczba </w:t>
            </w:r>
            <w:proofErr w:type="spellStart"/>
            <w:r>
              <w:t>zdigitalizowanych</w:t>
            </w:r>
            <w:proofErr w:type="spellEnd"/>
            <w:r>
              <w:t xml:space="preserve"> dokumentów zawierających informacje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25 860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udostępnionych on-line dokumentów zawierających informacje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25 860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utworzonych API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baz danych udostępnionych on-line poprzez API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bezpośrednio utworzonych nowych miejsc pracy (EPC)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etaty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naukowców zaangażowanych w realizację projektu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osoby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16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zakupionych stanowisk komputerowych związanych z nową infrastrukturą informatyczną (pomieszczenia do digitalizacji)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31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507" w:rsidRDefault="00715BA0">
            <w:r>
              <w:t>Liczba wynajętych urządzeń sieciowych (serwery)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zmodernizowanych pomieszczeń do celów: dostępu do zasobów, archiwum, szkoleniowych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9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Pracownicy objęci nowym systemem dostępu do zasobów cyfrowych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%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53,5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 xml:space="preserve">Liczba przeprowadzonych szkoleń w zakresie wdrożenia nowej infrastruktury informatycznej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38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rPr>
                <w:highlight w:val="red"/>
              </w:rPr>
            </w:pPr>
            <w:r>
              <w:lastRenderedPageBreak/>
              <w:t>Liczba zakupionych urządzeń skanujących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Udział zasobów przeniesionych z obiegu papierowego na elektroniczny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%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54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Liczba pobrań/</w:t>
            </w:r>
            <w:proofErr w:type="spellStart"/>
            <w:r>
              <w:t>odtworzeń</w:t>
            </w:r>
            <w:proofErr w:type="spellEnd"/>
            <w:r>
              <w:t xml:space="preserve"> dokumentów zawierających informacje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szt./rok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5000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 xml:space="preserve">Rozmiar </w:t>
            </w:r>
            <w:proofErr w:type="spellStart"/>
            <w:r>
              <w:t>zdigitalizowanej</w:t>
            </w:r>
            <w:proofErr w:type="spellEnd"/>
            <w:r>
              <w:t xml:space="preserve"> informacji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TB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15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r>
              <w:t>Rozmiar udostępnionych on-line informacji sektora publicznego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TB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15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  <w:tr w:rsidR="00FD550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roofErr w:type="spellStart"/>
            <w:r>
              <w:t>Licznba</w:t>
            </w:r>
            <w:proofErr w:type="spellEnd"/>
            <w:r>
              <w:t xml:space="preserve"> odwiedzin portalu (indywidualne adresy)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szt./rok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25 000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507" w:rsidRDefault="00715BA0">
            <w:pPr>
              <w:jc w:val="center"/>
            </w:pPr>
            <w:r>
              <w:t>03.2022</w:t>
            </w:r>
          </w:p>
        </w:tc>
      </w:tr>
    </w:tbl>
    <w:p w:rsidR="00FD5507" w:rsidRDefault="00715BA0" w:rsidP="00940CE6">
      <w:pPr>
        <w:pStyle w:val="Nagwek1"/>
        <w:numPr>
          <w:ilvl w:val="0"/>
          <w:numId w:val="4"/>
        </w:numPr>
      </w:pPr>
      <w:r>
        <w:t xml:space="preserve">KAMIENIE MILOWE </w:t>
      </w:r>
    </w:p>
    <w:p w:rsidR="00FD5507" w:rsidRDefault="00FD5507"/>
    <w:tbl>
      <w:tblPr>
        <w:tblStyle w:val="a5"/>
        <w:tblW w:w="9630" w:type="dxa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15"/>
        <w:gridCol w:w="2415"/>
      </w:tblGrid>
      <w:tr w:rsidR="00FD5507" w:rsidTr="00940CE6">
        <w:trPr>
          <w:trHeight w:val="608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spacing w:before="120"/>
              <w:ind w:left="420"/>
              <w:jc w:val="center"/>
              <w:rPr>
                <w:b/>
              </w:rPr>
            </w:pPr>
            <w:r>
              <w:rPr>
                <w:b/>
              </w:rPr>
              <w:t>Kamienie milowe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 w:rsidP="00940CE6">
            <w:pPr>
              <w:spacing w:before="120" w:after="120"/>
              <w:ind w:left="56"/>
              <w:jc w:val="center"/>
              <w:rPr>
                <w:b/>
              </w:rPr>
            </w:pPr>
            <w:r>
              <w:rPr>
                <w:b/>
              </w:rPr>
              <w:t>Planowany termin osiągnięcia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  <w:rPr>
                <w:highlight w:val="white"/>
              </w:rPr>
            </w:pPr>
            <w:r>
              <w:rPr>
                <w:highlight w:val="white"/>
              </w:rPr>
              <w:t>Przygotowanie węzłów dostępu do systemu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2019-12-31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 xml:space="preserve">Instalacja i testowanie środowiska </w:t>
            </w:r>
            <w:proofErr w:type="spellStart"/>
            <w:r>
              <w:t>Dspace</w:t>
            </w:r>
            <w:proofErr w:type="spellEnd"/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2020-07-31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Implementacja modułów usług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2021-01-31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Uruchomienie wersji testowej systemu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2021-03-31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 xml:space="preserve">Wdrożenie wersji produkcyjnej </w:t>
            </w:r>
            <w:proofErr w:type="spellStart"/>
            <w:r>
              <w:t>Digitarium</w:t>
            </w:r>
            <w:proofErr w:type="spellEnd"/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2022-01-31</w:t>
            </w:r>
          </w:p>
        </w:tc>
      </w:tr>
    </w:tbl>
    <w:p w:rsidR="00FD5507" w:rsidRDefault="00FD5507"/>
    <w:p w:rsidR="00FD5507" w:rsidRDefault="00715BA0" w:rsidP="00940CE6">
      <w:pPr>
        <w:pStyle w:val="Nagwek1"/>
        <w:numPr>
          <w:ilvl w:val="0"/>
          <w:numId w:val="4"/>
        </w:numPr>
      </w:pPr>
      <w:bookmarkStart w:id="6" w:name="_3dy6vkm" w:colFirst="0" w:colLast="0"/>
      <w:bookmarkEnd w:id="6"/>
      <w:r>
        <w:t xml:space="preserve">KOSZTY </w:t>
      </w:r>
    </w:p>
    <w:p w:rsidR="00FD5507" w:rsidRDefault="00621E36">
      <w:pPr>
        <w:pStyle w:val="Nagwek2"/>
        <w:spacing w:after="0"/>
        <w:ind w:left="710" w:firstLine="0"/>
      </w:pPr>
      <w:bookmarkStart w:id="7" w:name="_1t3h5sf" w:colFirst="0" w:colLast="0"/>
      <w:bookmarkEnd w:id="7"/>
      <w:r>
        <w:t>4</w:t>
      </w:r>
      <w:r w:rsidR="00715BA0">
        <w:t>.1 Koszty ogólne projektu wraz ze sposobem finansowania</w:t>
      </w: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993"/>
        <w:gridCol w:w="6237"/>
      </w:tblGrid>
      <w:tr w:rsidR="00FD5507">
        <w:trPr>
          <w:trHeight w:val="3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 xml:space="preserve">6 468 633,10 </w:t>
            </w:r>
            <w:r w:rsidR="00A0351F">
              <w:rPr>
                <w:b/>
              </w:rPr>
              <w:t xml:space="preserve">zł </w:t>
            </w:r>
            <w:r>
              <w:rPr>
                <w:b/>
              </w:rPr>
              <w:t>(netto)</w:t>
            </w:r>
          </w:p>
          <w:p w:rsidR="00FD5507" w:rsidRDefault="00715BA0">
            <w:pPr>
              <w:rPr>
                <w:color w:val="0070C0"/>
              </w:rPr>
            </w:pPr>
            <w:r>
              <w:rPr>
                <w:b/>
              </w:rPr>
              <w:t xml:space="preserve">6 852 414,45 </w:t>
            </w:r>
            <w:r w:rsidR="00A0351F">
              <w:rPr>
                <w:b/>
              </w:rPr>
              <w:t xml:space="preserve">zł </w:t>
            </w:r>
            <w:r>
              <w:rPr>
                <w:b/>
              </w:rP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Procent dofinansowania ze środków UE (brutto)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r>
              <w:t>84,63 % - 5 799 198,35</w:t>
            </w:r>
            <w:r w:rsidR="00A0351F">
              <w:t xml:space="preserve"> zł</w:t>
            </w:r>
          </w:p>
          <w:p w:rsidR="00FD5507" w:rsidRDefault="00FD5507"/>
        </w:tc>
      </w:tr>
      <w:tr w:rsidR="00FD5507">
        <w:trPr>
          <w:trHeight w:val="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Procent środków z budżetu państwa 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r>
              <w:t>15,37% - 1 053 216,10</w:t>
            </w:r>
            <w:r w:rsidR="00A0351F">
              <w:t xml:space="preserve"> zł</w:t>
            </w:r>
          </w:p>
          <w:p w:rsidR="00FD5507" w:rsidRDefault="00FD5507"/>
        </w:tc>
      </w:tr>
      <w:tr w:rsidR="00FD5507">
        <w:trPr>
          <w:trHeight w:val="80"/>
        </w:trPr>
        <w:tc>
          <w:tcPr>
            <w:tcW w:w="2409" w:type="dxa"/>
            <w:vMerge w:val="restart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lastRenderedPageBreak/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2019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 w:rsidP="00940CE6">
            <w:pPr>
              <w:rPr>
                <w:b/>
                <w:i/>
              </w:rPr>
            </w:pPr>
            <w:r>
              <w:t xml:space="preserve">1 723 378,62 </w:t>
            </w:r>
            <w:r w:rsidR="00A0351F">
              <w:t xml:space="preserve">zł </w:t>
            </w:r>
            <w:r>
              <w:t>(netto), 1 871 647,4</w:t>
            </w:r>
            <w:r w:rsidR="00940CE6">
              <w:t>9</w:t>
            </w:r>
            <w:r>
              <w:t xml:space="preserve"> </w:t>
            </w:r>
            <w:r w:rsidR="00A0351F">
              <w:t xml:space="preserve">zł </w:t>
            </w:r>
            <w: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2020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 xml:space="preserve">2 465 971,95 </w:t>
            </w:r>
            <w:r w:rsidR="00A0351F">
              <w:t xml:space="preserve">zł </w:t>
            </w:r>
            <w:r>
              <w:t>(netto), 2 628 074, 52</w:t>
            </w:r>
            <w:r w:rsidR="00A0351F">
              <w:t>zł</w:t>
            </w:r>
            <w:r>
              <w:t xml:space="preserve"> 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2021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 w:rsidP="00CB21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>1 802 876,38</w:t>
            </w:r>
            <w:r w:rsidR="00A0351F">
              <w:t xml:space="preserve"> zł</w:t>
            </w:r>
            <w:r>
              <w:t xml:space="preserve"> (netto), 1 8</w:t>
            </w:r>
            <w:r w:rsidR="00CB2136">
              <w:t>55</w:t>
            </w:r>
            <w:r>
              <w:t> </w:t>
            </w:r>
            <w:r w:rsidR="00CB2136">
              <w:t>5</w:t>
            </w:r>
            <w:r>
              <w:t xml:space="preserve">29, 55 </w:t>
            </w:r>
            <w:r w:rsidR="00A0351F">
              <w:t xml:space="preserve">zł </w:t>
            </w:r>
            <w: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2022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 xml:space="preserve">476 406,15 </w:t>
            </w:r>
            <w:r w:rsidR="00A0351F">
              <w:t xml:space="preserve">zł </w:t>
            </w:r>
            <w:r>
              <w:t xml:space="preserve">(netto), 497 162,89 </w:t>
            </w:r>
            <w:r w:rsidR="00A0351F">
              <w:t xml:space="preserve">zł </w:t>
            </w:r>
            <w:r>
              <w:t>(brutto)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  <w:bookmarkStart w:id="8" w:name="_4d34og8" w:colFirst="0" w:colLast="0"/>
      <w:bookmarkEnd w:id="8"/>
    </w:p>
    <w:p w:rsidR="00FD5507" w:rsidRDefault="00621E36">
      <w:pPr>
        <w:pStyle w:val="Nagwek2"/>
        <w:ind w:left="710" w:firstLine="0"/>
      </w:pPr>
      <w:r>
        <w:t>4</w:t>
      </w:r>
      <w:r w:rsidR="00715BA0">
        <w:t xml:space="preserve">.2 Wykaz poszczególnych pozycji kosztowych </w:t>
      </w:r>
    </w:p>
    <w:tbl>
      <w:tblPr>
        <w:tblStyle w:val="a7"/>
        <w:tblW w:w="963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701"/>
        <w:gridCol w:w="2410"/>
        <w:gridCol w:w="2409"/>
      </w:tblGrid>
      <w:tr w:rsidR="00FD5507">
        <w:trPr>
          <w:trHeight w:val="720"/>
        </w:trPr>
        <w:tc>
          <w:tcPr>
            <w:tcW w:w="4819" w:type="dxa"/>
            <w:gridSpan w:val="2"/>
            <w:shd w:val="clear" w:color="auto" w:fill="D9D9D9"/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bookmarkStart w:id="9" w:name="_2s8eyo1" w:colFirst="0" w:colLast="0"/>
            <w:bookmarkEnd w:id="9"/>
            <w:r>
              <w:rPr>
                <w:b/>
              </w:rPr>
              <w:t>Nazwa pozycji kosztowej: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Przewidywany koszt  brutto</w:t>
            </w:r>
            <w:r w:rsidR="00A0351F">
              <w:rPr>
                <w:b/>
                <w:color w:val="000000"/>
              </w:rPr>
              <w:t>[zł]</w:t>
            </w:r>
            <w:r>
              <w:rPr>
                <w:b/>
                <w:color w:val="000000"/>
              </w:rPr>
              <w:t>: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5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Uzasadnienie pozycji kosztowej (przeznaczenie):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D5507">
        <w:trPr>
          <w:trHeight w:val="380"/>
        </w:trPr>
        <w:tc>
          <w:tcPr>
            <w:tcW w:w="3118" w:type="dxa"/>
            <w:shd w:val="clear" w:color="auto" w:fill="auto"/>
          </w:tcPr>
          <w:p w:rsidR="00FD5507" w:rsidRDefault="00715BA0">
            <w:pPr>
              <w:rPr>
                <w:highlight w:val="yellow"/>
              </w:rPr>
            </w:pPr>
            <w:r>
              <w:t>Oprogramowanie</w:t>
            </w:r>
          </w:p>
        </w:tc>
        <w:tc>
          <w:tcPr>
            <w:tcW w:w="1701" w:type="dxa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715BA0">
              <w:rPr>
                <w:rFonts w:ascii="Calibri" w:eastAsia="Calibri" w:hAnsi="Calibri" w:cs="Calibri"/>
                <w:sz w:val="18"/>
                <w:szCs w:val="18"/>
                <w:lang w:val="en-US"/>
              </w:rPr>
              <w:t>Adobe Creative Suite (3),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715BA0">
              <w:rPr>
                <w:rFonts w:ascii="Calibri" w:eastAsia="Calibri" w:hAnsi="Calibri" w:cs="Calibri"/>
                <w:sz w:val="18"/>
                <w:szCs w:val="18"/>
                <w:lang w:val="en-US"/>
              </w:rPr>
              <w:t>Adobe Acrobat DC (13),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715BA0">
              <w:rPr>
                <w:rFonts w:ascii="Calibri" w:eastAsia="Calibri" w:hAnsi="Calibri" w:cs="Calibri"/>
                <w:sz w:val="18"/>
                <w:szCs w:val="18"/>
                <w:lang w:val="en-US"/>
              </w:rPr>
              <w:t>Corel Draw Suite (7)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715BA0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MS Office (16),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Adobe Photoshop (4),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Suma: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16 236,00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31 980,00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16 728,00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39 360,00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19 065,00</w:t>
            </w:r>
          </w:p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123 369,00</w:t>
            </w:r>
          </w:p>
        </w:tc>
        <w:tc>
          <w:tcPr>
            <w:tcW w:w="2409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pakietów graficznych i OCR do obsługi dokumentów cyfrowych i przygotowania do cyfrowego udostępniania. MS Office jako pakiet do tworzenia i edycji dokumentów. </w:t>
            </w:r>
          </w:p>
        </w:tc>
      </w:tr>
      <w:tr w:rsidR="00FD5507">
        <w:trPr>
          <w:trHeight w:val="420"/>
        </w:trPr>
        <w:tc>
          <w:tcPr>
            <w:tcW w:w="3118" w:type="dxa"/>
            <w:shd w:val="clear" w:color="auto" w:fill="auto"/>
          </w:tcPr>
          <w:p w:rsidR="00FD5507" w:rsidRDefault="00715BA0">
            <w:pPr>
              <w:rPr>
                <w:highlight w:val="yellow"/>
              </w:rPr>
            </w:pPr>
            <w:r>
              <w:t>Infrastruktura</w:t>
            </w:r>
          </w:p>
        </w:tc>
        <w:tc>
          <w:tcPr>
            <w:tcW w:w="1701" w:type="dxa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Wynajem Serwera 4x3,2GHz CPU, 8GB RAM, 200GB HDD, (5 szt., 30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msc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Wynajem Serwera 8x2,4GHz CPU, 16GB RAM, 320GB SATA, (1 szt., 30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msc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Wynajem macierzy i backupu (15GB), + wydzielona część opłaty za dostęp szerokopasmowy (30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msc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158 670,00</w:t>
            </w:r>
          </w:p>
        </w:tc>
        <w:tc>
          <w:tcPr>
            <w:tcW w:w="2409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Wynajem serwerów na potrzeby projektu z możliwością rezygnacji z usługi po okresie zdeponowania repozytorium na centralnej platformie Ministerstwa lub wskazanej do tego celu. Przygotowanie wydajnego łącza do obsługi ruchu związanego z </w:t>
            </w:r>
            <w:proofErr w:type="spellStart"/>
            <w:r>
              <w:rPr>
                <w:sz w:val="18"/>
                <w:szCs w:val="18"/>
              </w:rPr>
              <w:t>uploadem</w:t>
            </w:r>
            <w:proofErr w:type="spellEnd"/>
            <w:r>
              <w:rPr>
                <w:sz w:val="18"/>
                <w:szCs w:val="18"/>
              </w:rPr>
              <w:t xml:space="preserve"> danych do repozytorium. </w:t>
            </w:r>
          </w:p>
        </w:tc>
      </w:tr>
      <w:tr w:rsidR="00FD5507">
        <w:trPr>
          <w:trHeight w:val="38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  <w:r w:rsidRPr="00715BA0">
              <w:t>Koszty UX i grafiki</w:t>
            </w:r>
          </w:p>
        </w:tc>
        <w:tc>
          <w:tcPr>
            <w:tcW w:w="1701" w:type="dxa"/>
            <w:shd w:val="clear" w:color="auto" w:fill="auto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Wytworzone w ramach wynagrodzenia pracowników</w:t>
            </w:r>
          </w:p>
        </w:tc>
        <w:tc>
          <w:tcPr>
            <w:tcW w:w="2410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0</w:t>
            </w:r>
          </w:p>
        </w:tc>
        <w:tc>
          <w:tcPr>
            <w:tcW w:w="2409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Szablony UX wraz z wizualizacją i funkcjonalnością serwisów opracowane zostanie przez pracowników instytutów.</w:t>
            </w:r>
          </w:p>
        </w:tc>
      </w:tr>
      <w:tr w:rsidR="00FD5507">
        <w:trPr>
          <w:gridAfter w:val="1"/>
          <w:wAfter w:w="2409" w:type="dxa"/>
          <w:trHeight w:val="40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r w:rsidRPr="00715BA0">
              <w:t>Bezpieczeństwo</w:t>
            </w:r>
          </w:p>
        </w:tc>
        <w:tc>
          <w:tcPr>
            <w:tcW w:w="1701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70C0"/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 xml:space="preserve">Zapewnione w ramach wykorzystywanej infrastruktury (wynajmowane bezpieczne serwery) i oprogramowania (z </w:t>
            </w:r>
            <w:r w:rsidRPr="00715BA0">
              <w:rPr>
                <w:sz w:val="18"/>
                <w:szCs w:val="18"/>
              </w:rPr>
              <w:lastRenderedPageBreak/>
              <w:t>wbudowanymi modułami ograniczającymi dostęp)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70C0"/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lastRenderedPageBreak/>
              <w:t>0</w:t>
            </w:r>
          </w:p>
        </w:tc>
      </w:tr>
      <w:tr w:rsidR="00FD5507">
        <w:trPr>
          <w:gridAfter w:val="1"/>
          <w:wAfter w:w="2409" w:type="dxa"/>
          <w:trHeight w:val="42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r w:rsidRPr="00715BA0">
              <w:lastRenderedPageBreak/>
              <w:t>Wydajność rozwiązań</w:t>
            </w:r>
          </w:p>
        </w:tc>
        <w:tc>
          <w:tcPr>
            <w:tcW w:w="1701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Zapewniona w ramach wykorzystywanej infrastruktury i oprogramowania</w:t>
            </w:r>
            <w:r>
              <w:rPr>
                <w:sz w:val="18"/>
                <w:szCs w:val="18"/>
              </w:rPr>
              <w:t xml:space="preserve"> – będą dostosowane do jak najszybszej obsługi zapytań użytkowników</w:t>
            </w:r>
          </w:p>
        </w:tc>
        <w:tc>
          <w:tcPr>
            <w:tcW w:w="2410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0</w:t>
            </w:r>
          </w:p>
        </w:tc>
      </w:tr>
      <w:tr w:rsidR="00FD5507">
        <w:trPr>
          <w:trHeight w:val="40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r w:rsidRPr="00715BA0">
              <w:t>Szkolenia</w:t>
            </w:r>
          </w:p>
        </w:tc>
        <w:tc>
          <w:tcPr>
            <w:tcW w:w="1701" w:type="dxa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715BA0">
              <w:rPr>
                <w:rFonts w:eastAsia="Calibri"/>
                <w:sz w:val="18"/>
                <w:szCs w:val="18"/>
              </w:rPr>
              <w:t>Administracja serwerami,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proofErr w:type="spellStart"/>
            <w:r w:rsidRPr="00715BA0">
              <w:rPr>
                <w:rFonts w:eastAsia="Calibri"/>
                <w:sz w:val="18"/>
                <w:szCs w:val="18"/>
              </w:rPr>
              <w:t>dSpace</w:t>
            </w:r>
            <w:proofErr w:type="spellEnd"/>
            <w:r w:rsidRPr="00715BA0">
              <w:rPr>
                <w:rFonts w:eastAsia="Calibri"/>
                <w:sz w:val="18"/>
                <w:szCs w:val="18"/>
              </w:rPr>
              <w:t xml:space="preserve">, 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715BA0">
              <w:rPr>
                <w:rFonts w:eastAsia="Calibri"/>
                <w:sz w:val="18"/>
                <w:szCs w:val="18"/>
              </w:rPr>
              <w:t>Archiwizacja,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715BA0">
              <w:rPr>
                <w:rFonts w:eastAsia="Calibri"/>
                <w:sz w:val="18"/>
                <w:szCs w:val="18"/>
              </w:rPr>
              <w:t>Adobe,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proofErr w:type="spellStart"/>
            <w:r w:rsidRPr="00715BA0">
              <w:rPr>
                <w:rFonts w:eastAsia="Calibri"/>
                <w:sz w:val="18"/>
                <w:szCs w:val="18"/>
              </w:rPr>
              <w:t>dB</w:t>
            </w:r>
            <w:proofErr w:type="spellEnd"/>
            <w:r w:rsidRPr="00715BA0">
              <w:rPr>
                <w:rFonts w:eastAsia="Calibri"/>
                <w:sz w:val="18"/>
                <w:szCs w:val="18"/>
              </w:rPr>
              <w:t>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715BA0">
              <w:rPr>
                <w:rFonts w:eastAsia="Calibri"/>
                <w:sz w:val="18"/>
                <w:szCs w:val="18"/>
              </w:rPr>
              <w:t>własność intelektualna,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715BA0">
              <w:rPr>
                <w:rFonts w:eastAsia="Calibri"/>
                <w:sz w:val="18"/>
                <w:szCs w:val="18"/>
              </w:rPr>
              <w:t>API i zarządzanie projektami</w:t>
            </w:r>
          </w:p>
          <w:p w:rsidR="00FD5507" w:rsidRPr="00715BA0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</w:p>
          <w:p w:rsidR="00FD5507" w:rsidRPr="00715BA0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211 061,85</w:t>
            </w:r>
          </w:p>
        </w:tc>
        <w:tc>
          <w:tcPr>
            <w:tcW w:w="2409" w:type="dxa"/>
            <w:shd w:val="clear" w:color="auto" w:fill="FFFFFF"/>
          </w:tcPr>
          <w:p w:rsidR="00FD5507" w:rsidRPr="00715BA0" w:rsidRDefault="00715BA0" w:rsidP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715BA0">
              <w:rPr>
                <w:sz w:val="18"/>
                <w:szCs w:val="18"/>
              </w:rPr>
              <w:t xml:space="preserve">o pełnej realizacji </w:t>
            </w:r>
            <w:r>
              <w:rPr>
                <w:sz w:val="18"/>
                <w:szCs w:val="18"/>
              </w:rPr>
              <w:t>p</w:t>
            </w:r>
            <w:r w:rsidRPr="00715BA0">
              <w:rPr>
                <w:sz w:val="18"/>
                <w:szCs w:val="18"/>
              </w:rPr>
              <w:t>rzewidziano projektu 17 szkoleń w sumie dla 127 uczestników.</w:t>
            </w:r>
          </w:p>
        </w:tc>
      </w:tr>
      <w:tr w:rsidR="00FD5507">
        <w:trPr>
          <w:trHeight w:val="40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r w:rsidRPr="00715BA0">
              <w:t>Działania informacyjno-promocyjne</w:t>
            </w:r>
          </w:p>
        </w:tc>
        <w:tc>
          <w:tcPr>
            <w:tcW w:w="1701" w:type="dxa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  <w:highlight w:val="yellow"/>
              </w:rPr>
            </w:pPr>
            <w:r w:rsidRPr="00715BA0">
              <w:rPr>
                <w:rFonts w:eastAsia="Calibri"/>
                <w:sz w:val="18"/>
                <w:szCs w:val="18"/>
              </w:rPr>
              <w:t>materiały graficzne (opracowanie i zakup), opracowanie i druk informatorów,  gadżety reklamowe, wystawy/targi, banery i tablice informacyjne, flagi, reklamy zewnętrzne</w:t>
            </w:r>
          </w:p>
        </w:tc>
        <w:tc>
          <w:tcPr>
            <w:tcW w:w="2410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192 000,00</w:t>
            </w:r>
          </w:p>
        </w:tc>
        <w:tc>
          <w:tcPr>
            <w:tcW w:w="2409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 xml:space="preserve">Promocja projektu przy udziale mediów tradycyjnych oraz </w:t>
            </w:r>
            <w:proofErr w:type="spellStart"/>
            <w:r w:rsidRPr="00715BA0">
              <w:rPr>
                <w:sz w:val="18"/>
                <w:szCs w:val="18"/>
              </w:rPr>
              <w:t>social</w:t>
            </w:r>
            <w:proofErr w:type="spellEnd"/>
            <w:r w:rsidRPr="00715BA0">
              <w:rPr>
                <w:sz w:val="18"/>
                <w:szCs w:val="18"/>
              </w:rPr>
              <w:t xml:space="preserve"> media. Targi i imprezy promocyjne.</w:t>
            </w:r>
          </w:p>
        </w:tc>
      </w:tr>
      <w:tr w:rsidR="00FD5507">
        <w:trPr>
          <w:trHeight w:val="720"/>
        </w:trPr>
        <w:tc>
          <w:tcPr>
            <w:tcW w:w="3118" w:type="dxa"/>
            <w:shd w:val="clear" w:color="auto" w:fill="auto"/>
          </w:tcPr>
          <w:p w:rsidR="00FD5507" w:rsidRPr="00715BA0" w:rsidRDefault="00715BA0">
            <w:r w:rsidRPr="00715BA0">
              <w:t>Koszty zarządzania i wsparcia (w tym wynagrodzenia personelu wspomagającego)</w:t>
            </w:r>
          </w:p>
        </w:tc>
        <w:tc>
          <w:tcPr>
            <w:tcW w:w="1701" w:type="dxa"/>
          </w:tcPr>
          <w:p w:rsidR="00FD5507" w:rsidRPr="00621E36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18"/>
                <w:szCs w:val="18"/>
              </w:rPr>
            </w:pPr>
            <w:r w:rsidRPr="00621E36">
              <w:rPr>
                <w:rFonts w:eastAsia="Calibri"/>
                <w:sz w:val="18"/>
                <w:szCs w:val="18"/>
              </w:rPr>
              <w:t>Komunikacja projektowa i raportowanie,</w:t>
            </w:r>
          </w:p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621E36">
              <w:rPr>
                <w:rFonts w:eastAsia="Calibri"/>
                <w:sz w:val="18"/>
                <w:szCs w:val="18"/>
              </w:rPr>
              <w:t>Nadzór nad przebiegiem procesu przygotowania materiałów, digitalizacji i wprowadzania danych, SIWZ i procedury przetargowe,</w:t>
            </w:r>
            <w:r w:rsidRPr="00621E36">
              <w:t xml:space="preserve"> </w:t>
            </w:r>
            <w:r w:rsidRPr="00621E36">
              <w:rPr>
                <w:rFonts w:eastAsia="Calibri"/>
                <w:sz w:val="18"/>
                <w:szCs w:val="18"/>
              </w:rPr>
              <w:t>Bieżąca obsługa finansowa</w:t>
            </w:r>
          </w:p>
        </w:tc>
        <w:tc>
          <w:tcPr>
            <w:tcW w:w="2410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715BA0">
              <w:rPr>
                <w:sz w:val="18"/>
                <w:szCs w:val="18"/>
              </w:rPr>
              <w:t>565 477,00</w:t>
            </w:r>
          </w:p>
        </w:tc>
        <w:tc>
          <w:tcPr>
            <w:tcW w:w="2409" w:type="dxa"/>
            <w:shd w:val="clear" w:color="auto" w:fill="FFFFFF"/>
          </w:tcPr>
          <w:p w:rsidR="00FD5507" w:rsidRPr="00715BA0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bookmarkStart w:id="10" w:name="_17dp8vu" w:colFirst="0" w:colLast="0"/>
            <w:bookmarkEnd w:id="10"/>
            <w:r w:rsidRPr="00715BA0">
              <w:rPr>
                <w:sz w:val="18"/>
                <w:szCs w:val="18"/>
              </w:rPr>
              <w:t>Koszty obejmują kwotę dedykowaną na zadanie 1</w:t>
            </w:r>
          </w:p>
        </w:tc>
      </w:tr>
    </w:tbl>
    <w:p w:rsidR="00830030" w:rsidRDefault="00830030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830030" w:rsidRDefault="00830030">
      <w:pPr>
        <w:rPr>
          <w:color w:val="000000"/>
        </w:rPr>
      </w:pPr>
      <w:r>
        <w:rPr>
          <w:color w:val="000000"/>
        </w:rPr>
        <w:br w:type="page"/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940CE6">
      <w:pPr>
        <w:pStyle w:val="Nagwek2"/>
        <w:numPr>
          <w:ilvl w:val="1"/>
          <w:numId w:val="4"/>
        </w:numPr>
        <w:jc w:val="both"/>
      </w:pPr>
      <w:r>
        <w:t>Koszty ogólne utrzymania wraz ze sposobem finansowania (okres 5 lat)</w:t>
      </w:r>
    </w:p>
    <w:tbl>
      <w:tblPr>
        <w:tblStyle w:val="a8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50"/>
        <w:gridCol w:w="4111"/>
        <w:gridCol w:w="2410"/>
      </w:tblGrid>
      <w:tr w:rsidR="00FD5507">
        <w:trPr>
          <w:trHeight w:val="380"/>
        </w:trPr>
        <w:tc>
          <w:tcPr>
            <w:tcW w:w="2268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>1 709 200,00</w:t>
            </w:r>
            <w:r w:rsidR="002D6075">
              <w:rPr>
                <w:color w:val="000000"/>
              </w:rPr>
              <w:t xml:space="preserve"> zł</w:t>
            </w:r>
          </w:p>
          <w:p w:rsidR="008B1D54" w:rsidRPr="008B1D54" w:rsidRDefault="008B1D54" w:rsidP="008B1D54">
            <w:r w:rsidRPr="008B1D54">
              <w:rPr>
                <w:color w:val="000000"/>
              </w:rPr>
              <w:t>1 741 676,00</w:t>
            </w:r>
            <w:r w:rsidR="002D6075">
              <w:rPr>
                <w:color w:val="000000"/>
              </w:rPr>
              <w:t xml:space="preserve"> zł</w:t>
            </w:r>
            <w:bookmarkStart w:id="11" w:name="_GoBack"/>
            <w:bookmarkEnd w:id="11"/>
          </w:p>
          <w:p w:rsidR="00FD5507" w:rsidRDefault="00FD5507"/>
        </w:tc>
        <w:tc>
          <w:tcPr>
            <w:tcW w:w="2410" w:type="dxa"/>
            <w:shd w:val="clear" w:color="auto" w:fill="D9D9D9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Źródło finansowania</w:t>
            </w:r>
          </w:p>
          <w:p w:rsidR="00FD5507" w:rsidRDefault="00FD5507">
            <w:pPr>
              <w:jc w:val="center"/>
              <w:rPr>
                <w:b/>
                <w:color w:val="0070C0"/>
              </w:rPr>
            </w:pPr>
          </w:p>
        </w:tc>
      </w:tr>
      <w:tr w:rsidR="00FD5507">
        <w:trPr>
          <w:trHeight w:val="400"/>
        </w:trPr>
        <w:tc>
          <w:tcPr>
            <w:tcW w:w="2268" w:type="dxa"/>
            <w:vMerge w:val="restart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 xml:space="preserve">2022 </w:t>
            </w:r>
            <w:r>
              <w:rPr>
                <w:b/>
                <w:color w:val="00000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r>
              <w:t>środki własne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2023</w:t>
            </w:r>
            <w:r>
              <w:rPr>
                <w:b/>
                <w:color w:val="00000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 xml:space="preserve">2024 </w:t>
            </w:r>
            <w:r>
              <w:rPr>
                <w:b/>
                <w:color w:val="00000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2025</w:t>
            </w:r>
            <w:r>
              <w:rPr>
                <w:b/>
                <w:color w:val="00000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2026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</w:tbl>
    <w:p w:rsidR="00FD5507" w:rsidRDefault="00FD5507">
      <w:pPr>
        <w:pStyle w:val="Nagwek1"/>
        <w:spacing w:before="0" w:after="0"/>
        <w:ind w:left="0"/>
        <w:rPr>
          <w:smallCaps w:val="0"/>
          <w:sz w:val="20"/>
          <w:szCs w:val="20"/>
        </w:rPr>
      </w:pPr>
      <w:bookmarkStart w:id="12" w:name="_3rdcrjn" w:colFirst="0" w:colLast="0"/>
      <w:bookmarkEnd w:id="12"/>
    </w:p>
    <w:p w:rsidR="00FD5507" w:rsidRDefault="00621E36">
      <w:pPr>
        <w:pStyle w:val="Nagwek1"/>
        <w:spacing w:before="0"/>
        <w:ind w:left="420" w:firstLine="0"/>
        <w:rPr>
          <w:b w:val="0"/>
          <w:smallCaps w:val="0"/>
        </w:rPr>
      </w:pPr>
      <w:r>
        <w:rPr>
          <w:smallCaps w:val="0"/>
        </w:rPr>
        <w:t>4</w:t>
      </w:r>
      <w:r w:rsidR="00715BA0">
        <w:rPr>
          <w:smallCaps w:val="0"/>
        </w:rPr>
        <w:t>.4</w:t>
      </w:r>
      <w:r w:rsidR="00715BA0">
        <w:rPr>
          <w:b w:val="0"/>
          <w:smallCaps w:val="0"/>
        </w:rPr>
        <w:t xml:space="preserve"> </w:t>
      </w:r>
      <w:r w:rsidR="00715BA0">
        <w:rPr>
          <w:smallCaps w:val="0"/>
        </w:rPr>
        <w:t>Planowane koszty ogólne realizacji</w:t>
      </w:r>
      <w:r w:rsidR="00715BA0">
        <w:rPr>
          <w:b w:val="0"/>
          <w:smallCaps w:val="0"/>
        </w:rPr>
        <w:t xml:space="preserve"> </w:t>
      </w:r>
      <w:r w:rsidR="00715BA0">
        <w:rPr>
          <w:smallCaps w:val="0"/>
        </w:rPr>
        <w:t>(w przypadku projektu współfinansowanego – wkład krajowy z budżetu państwa) oraz koszty utrzymania projektu:</w:t>
      </w:r>
    </w:p>
    <w:p w:rsidR="00FD5507" w:rsidRDefault="00715BA0">
      <w:pPr>
        <w:pStyle w:val="Nagwek1"/>
        <w:numPr>
          <w:ilvl w:val="0"/>
          <w:numId w:val="8"/>
        </w:numPr>
        <w:spacing w:before="0"/>
        <w:rPr>
          <w:b w:val="0"/>
          <w:smallCaps w:val="0"/>
        </w:rPr>
      </w:pPr>
      <w:r>
        <w:rPr>
          <w:b w:val="0"/>
          <w:smallCaps w:val="0"/>
        </w:rPr>
        <w:t xml:space="preserve">zostaną pokryte w ramach budżetów odpowiednich dysponentów części budżetowych bez konieczności występowania o dodatkowe środki z budżetu państwa, </w:t>
      </w:r>
    </w:p>
    <w:p w:rsidR="00FD5507" w:rsidRDefault="00715BA0">
      <w:pPr>
        <w:pStyle w:val="Nagwek1"/>
        <w:numPr>
          <w:ilvl w:val="0"/>
          <w:numId w:val="8"/>
        </w:numPr>
        <w:spacing w:before="0" w:after="0"/>
        <w:rPr>
          <w:b w:val="0"/>
          <w:smallCaps w:val="0"/>
        </w:rPr>
      </w:pPr>
      <w:r>
        <w:rPr>
          <w:b w:val="0"/>
          <w:smallCaps w:val="0"/>
          <w:strike/>
        </w:rPr>
        <w:t>będą powodować konieczność przyznania dodatkowych kwot</w:t>
      </w:r>
      <w:r>
        <w:rPr>
          <w:b w:val="0"/>
          <w:smallCaps w:val="0"/>
        </w:rPr>
        <w:t>.</w:t>
      </w:r>
      <w:r>
        <w:rPr>
          <w:b w:val="0"/>
          <w:smallCaps w:val="0"/>
          <w:vertAlign w:val="superscript"/>
        </w:rPr>
        <w:footnoteReference w:id="3"/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tabs>
          <w:tab w:val="left" w:pos="2130"/>
        </w:tabs>
        <w:spacing w:after="120"/>
        <w:ind w:left="360" w:hanging="360"/>
        <w:rPr>
          <w:color w:val="000000"/>
          <w:sz w:val="20"/>
          <w:szCs w:val="20"/>
        </w:rPr>
      </w:pPr>
    </w:p>
    <w:p w:rsidR="00FD5507" w:rsidRDefault="00715BA0" w:rsidP="00940CE6">
      <w:pPr>
        <w:pStyle w:val="Nagwek1"/>
        <w:numPr>
          <w:ilvl w:val="0"/>
          <w:numId w:val="4"/>
        </w:numPr>
      </w:pPr>
      <w:r>
        <w:t>GŁÓWNE RYZYKA</w:t>
      </w:r>
      <w:r>
        <w:rPr>
          <w:smallCaps w:val="0"/>
        </w:rPr>
        <w:t xml:space="preserve"> </w:t>
      </w:r>
      <w:r>
        <w:rPr>
          <w:b w:val="0"/>
          <w:smallCaps w:val="0"/>
          <w:color w:val="7F7F7F"/>
          <w:sz w:val="20"/>
          <w:szCs w:val="20"/>
        </w:rPr>
        <w:t>&lt;&lt;maksymalnie 2000 znaków&gt;&gt;</w:t>
      </w:r>
    </w:p>
    <w:p w:rsidR="00FD5507" w:rsidRDefault="00715BA0" w:rsidP="00621E36">
      <w:pPr>
        <w:pStyle w:val="Nagwek2"/>
        <w:numPr>
          <w:ilvl w:val="2"/>
          <w:numId w:val="17"/>
        </w:numPr>
        <w:ind w:left="1134" w:hanging="850"/>
      </w:pPr>
      <w:bookmarkStart w:id="13" w:name="_26in1rg" w:colFirst="0" w:colLast="0"/>
      <w:bookmarkEnd w:id="13"/>
      <w:r>
        <w:t>Ryzyka wpływające na realizację projektu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tbl>
      <w:tblPr>
        <w:tblStyle w:val="a9"/>
        <w:tblW w:w="10578" w:type="dxa"/>
        <w:jc w:val="center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08"/>
        <w:gridCol w:w="2145"/>
        <w:gridCol w:w="4515"/>
      </w:tblGrid>
      <w:tr w:rsidR="00FD5507" w:rsidTr="00621E36">
        <w:trPr>
          <w:trHeight w:val="720"/>
          <w:jc w:val="center"/>
        </w:trPr>
        <w:tc>
          <w:tcPr>
            <w:tcW w:w="2410" w:type="dxa"/>
            <w:shd w:val="clear" w:color="auto" w:fill="D9D9D9"/>
          </w:tcPr>
          <w:p w:rsidR="00FD5507" w:rsidRDefault="00715BA0">
            <w:pPr>
              <w:jc w:val="center"/>
            </w:pPr>
            <w:r>
              <w:t>Nazwa ryzyka</w:t>
            </w:r>
          </w:p>
        </w:tc>
        <w:tc>
          <w:tcPr>
            <w:tcW w:w="1508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Siła oddziaływania</w:t>
            </w:r>
          </w:p>
        </w:tc>
        <w:tc>
          <w:tcPr>
            <w:tcW w:w="2145" w:type="dxa"/>
            <w:shd w:val="clear" w:color="auto" w:fill="D9D9D9"/>
          </w:tcPr>
          <w:p w:rsidR="00FD5507" w:rsidRDefault="00715BA0">
            <w:pPr>
              <w:jc w:val="center"/>
            </w:pPr>
            <w:r>
              <w:t>Prawdopodobieństwo wystąpienia ryzyka</w:t>
            </w:r>
          </w:p>
        </w:tc>
        <w:tc>
          <w:tcPr>
            <w:tcW w:w="4515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Sposób zminimalizowania ryzyka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Opóźnienie w wykonywaniu zadań przez partnera projektu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duża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Szczegółowy harmonogram działań i powołanie osoby odpowiedzialnej za kontrolę postępu prac w każdym zadaniu. W przypadku opóźnienia pomoc lidera projektu w ukończeniu zadania.</w:t>
            </w:r>
          </w:p>
        </w:tc>
      </w:tr>
      <w:tr w:rsidR="00FD5507" w:rsidTr="00621E36">
        <w:trPr>
          <w:trHeight w:val="144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lastRenderedPageBreak/>
              <w:t>Opóźnienia w dostarczaniu oprogramowania i/lub sprzętu komputerowego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Przygotowanie i realizacja zamówień publicznych zostanie rozpoczęta możliwie wcześnie. W umowach zawarte zostaną klauzule o nieprzekraczalności terminów dostaw.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Opóźnienia w digitalizacji dokumentów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W przypadku stwierdzenia opóźnień zaangażowanie większej liczby pracowników w realizację zadania digitalizacji.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Spójność i korelacja danych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Metodyka dostępu do danych i sposoby ich agregacji zostaną ustalone wspólną metodyką dla wszystkich partnerów co pozwoli na przygotowanie spójnych formatów danych.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Niewystarczające przeszkolenie z zakresu wykorzystywanej infrastruktury informatycznej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mała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Osoby odpowiedzialne za obsługę informatyczną systemu przejdą gruntowne szkolenia z zakresu wykorzystywanego oprogramowania jak i urządzeń. Szkolenia realizowane będą wspólnie dla wszystkich partnerów i dostosowane do potrzeb definiowanych projektem.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Problem z wydajnością systemu i obsługą dużej ilości danych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 xml:space="preserve">Bazy danych zostaną utworzone w szybkich centrach danych i połączonych łączem o przepustowości nie niższej niż 10 </w:t>
            </w:r>
            <w:proofErr w:type="spellStart"/>
            <w:r>
              <w:t>Gbps</w:t>
            </w:r>
            <w:proofErr w:type="spellEnd"/>
            <w:r>
              <w:t>. Testy wydajności i stabilności systemu będą przeprowadzone przed wdrożeniem produkcyjnej wersji platformy. Przy stwierdzeniu problemów kod oprogramowania zostanie zmodyfikowany pod kątem optymalizacji wydajności systemu i/lub wynajęte zostaną serwery o wyższej mocy obliczeniowej.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numPr>
          <w:ilvl w:val="1"/>
          <w:numId w:val="17"/>
        </w:numPr>
        <w:spacing w:after="0"/>
        <w:ind w:hanging="1070"/>
      </w:pPr>
      <w:bookmarkStart w:id="14" w:name="_lnxbz9" w:colFirst="0" w:colLast="0"/>
      <w:bookmarkEnd w:id="14"/>
      <w:r>
        <w:t>Ryzyka wpływające na utrzymanie efektów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tbl>
      <w:tblPr>
        <w:tblStyle w:val="aa"/>
        <w:tblW w:w="10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1620"/>
        <w:gridCol w:w="5752"/>
      </w:tblGrid>
      <w:tr w:rsidR="00FD5507">
        <w:trPr>
          <w:trHeight w:val="720"/>
          <w:jc w:val="center"/>
        </w:trPr>
        <w:tc>
          <w:tcPr>
            <w:tcW w:w="2938" w:type="dxa"/>
            <w:shd w:val="clear" w:color="auto" w:fill="D9D9D9"/>
          </w:tcPr>
          <w:p w:rsidR="00FD5507" w:rsidRDefault="00715BA0">
            <w:pPr>
              <w:jc w:val="center"/>
            </w:pPr>
            <w:r>
              <w:t>Nazwa ryzyka</w:t>
            </w:r>
          </w:p>
        </w:tc>
        <w:tc>
          <w:tcPr>
            <w:tcW w:w="1620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Siła oddziaływania</w:t>
            </w:r>
          </w:p>
        </w:tc>
        <w:tc>
          <w:tcPr>
            <w:tcW w:w="5752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Sposób zminimalizowania ryzyka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 xml:space="preserve">Opóźnienia lub ograniczenie ilości </w:t>
            </w:r>
            <w:proofErr w:type="spellStart"/>
            <w:r>
              <w:t>zdigitalizowanych</w:t>
            </w:r>
            <w:proofErr w:type="spellEnd"/>
            <w:r>
              <w:t xml:space="preserve"> dokumentów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>Kontrola postępu prac przez liderów zadań w trybie ciągłym i szczegółowy harmonogram prac zasygnalizują wcześniej problemy z szybkością digitalizacji dokumentów. Lider projektu będzie w stanie reagować u partnera lub wspomóc go w realizacji zadania.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>Niewystarczająca prędkość i przepływność danych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Wsparcie PCSS (Poznańskie Centrum Superkomputerowo Sieciowe) w realizacji projektu i wirtualizacja serwerów w chmurze pozwala na szybkie skalowanie systemu (dobór wydajniejszych wirtualnych maszyn). 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>Brak zaangażowania pracowników instytutu w rozwój platformy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Przeprowadzenie szkoleń dla pracowników i monitorowanie ich efektywności pozwoli zidentyfikować obszary w których dodatkowa informacja powinna być uzupełniona. System kilku szkoleń </w:t>
            </w:r>
            <w:r>
              <w:lastRenderedPageBreak/>
              <w:t xml:space="preserve">wewnętrznych dodatkowo utrwali wiedzę o wykorzystaniu systemu. 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lastRenderedPageBreak/>
              <w:t>Nieosiągnięcie deklarowanej liczby użytkowników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Informacja i promocja projektu skupione zostaną wokół sfer beneficjentów mogących najlepiej wykorzystać zasoby platformy. Informacja będzie dystrybuowana za pośrednictwem targów oraz spotkań tematycznych i szkoleń informujących o możliwościach i zakresie informacji zdeponowanej w repozytorium. 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1"/>
        <w:numPr>
          <w:ilvl w:val="0"/>
          <w:numId w:val="17"/>
        </w:numPr>
        <w:rPr>
          <w:smallCaps w:val="0"/>
          <w:sz w:val="20"/>
          <w:szCs w:val="20"/>
        </w:rPr>
      </w:pPr>
      <w:r>
        <w:t xml:space="preserve">OTOCZENIE PRAWNE </w:t>
      </w:r>
    </w:p>
    <w:p w:rsidR="00061C9E" w:rsidRDefault="00715BA0" w:rsidP="00830030">
      <w:pPr>
        <w:spacing w:after="240"/>
        <w:ind w:left="-142" w:firstLine="5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Otoczenie prawne w pełni sprzyja idei utworzenia wspólnej platformy </w:t>
      </w:r>
      <w:proofErr w:type="spellStart"/>
      <w:r>
        <w:rPr>
          <w:sz w:val="22"/>
          <w:szCs w:val="22"/>
        </w:rPr>
        <w:t>repozytoryjnej</w:t>
      </w:r>
      <w:proofErr w:type="spellEnd"/>
      <w:r>
        <w:rPr>
          <w:sz w:val="22"/>
          <w:szCs w:val="22"/>
        </w:rPr>
        <w:t xml:space="preserve"> instytutów badawczych. Polska identyfikuje się z ogólnoświatowym trendem “otwierania nauki”. W przypadku prac powstających w ramach Programu Horyzont 2020 otwartość ta jest obowiązkiem, natomiast w zakresie innych wyników działalności naukowo-badawczej (w tym tych, tworzonych przez instytuty badawcze) funkcjonują obecnie rekomendacje Ministerstwa Nauki i Szkolnictwa Wyższego (“Kierunki rozwoju otwartego dostępu do publikacji i wyników badań naukowych w Polsce”). </w:t>
      </w:r>
    </w:p>
    <w:p w:rsidR="00FD5507" w:rsidRDefault="00715BA0" w:rsidP="00830030">
      <w:pPr>
        <w:pBdr>
          <w:top w:val="nil"/>
          <w:left w:val="nil"/>
          <w:bottom w:val="nil"/>
          <w:right w:val="nil"/>
          <w:between w:val="nil"/>
        </w:pBdr>
        <w:spacing w:after="120"/>
        <w:ind w:left="-142" w:firstLine="502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Wszystkie instytuty badawcze wchodzące w skład Partnerstwa projektowego posiadają prawa własności intelektualnej do zasobów dedykowanych do umieszczenia na platformie i udostępnienia ich </w:t>
      </w:r>
      <w:proofErr w:type="spellStart"/>
      <w:r>
        <w:rPr>
          <w:color w:val="000000"/>
          <w:sz w:val="22"/>
          <w:szCs w:val="22"/>
        </w:rPr>
        <w:t>pełnotekstowych</w:t>
      </w:r>
      <w:proofErr w:type="spellEnd"/>
      <w:r>
        <w:rPr>
          <w:color w:val="000000"/>
          <w:sz w:val="22"/>
          <w:szCs w:val="22"/>
        </w:rPr>
        <w:t xml:space="preserve"> wersji. Prawa te obejmują możliwość publikowania w/w prac w formule otwartego dostępu.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hanging="900"/>
        <w:rPr>
          <w:color w:val="000000"/>
        </w:rPr>
      </w:pPr>
    </w:p>
    <w:p w:rsidR="00FD5507" w:rsidRDefault="00715BA0" w:rsidP="00621E36">
      <w:pPr>
        <w:pStyle w:val="Nagwek1"/>
        <w:numPr>
          <w:ilvl w:val="0"/>
          <w:numId w:val="17"/>
        </w:numPr>
      </w:pPr>
      <w:r>
        <w:lastRenderedPageBreak/>
        <w:t>ARCHITEKTURA</w:t>
      </w:r>
    </w:p>
    <w:p w:rsidR="00FD5507" w:rsidRDefault="00621E36" w:rsidP="00621E36">
      <w:pPr>
        <w:pStyle w:val="Nagwek2"/>
        <w:keepNext/>
        <w:ind w:left="710" w:firstLine="0"/>
      </w:pPr>
      <w:r>
        <w:t>7.1</w:t>
      </w:r>
      <w:r>
        <w:tab/>
      </w:r>
      <w:r w:rsidR="00715BA0">
        <w:t>Widok kooperacji aplikacji</w:t>
      </w:r>
    </w:p>
    <w:p w:rsidR="00FD5507" w:rsidRDefault="007C6709" w:rsidP="007C670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rPr>
          <w:color w:val="000000"/>
        </w:rPr>
      </w:pPr>
      <w:bookmarkStart w:id="15" w:name="_35nkun2" w:colFirst="0" w:colLast="0"/>
      <w:bookmarkEnd w:id="15"/>
      <w:r>
        <w:rPr>
          <w:noProof/>
          <w:color w:val="000000"/>
        </w:rPr>
        <w:drawing>
          <wp:inline distT="0" distB="0" distL="0" distR="0" wp14:anchorId="7F284412" wp14:editId="46C85116">
            <wp:extent cx="6400800" cy="48006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10.1_os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b"/>
        <w:tblW w:w="9495" w:type="dxa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7434"/>
      </w:tblGrid>
      <w:tr w:rsidR="00FD5507">
        <w:tc>
          <w:tcPr>
            <w:tcW w:w="2061" w:type="dxa"/>
            <w:shd w:val="clear" w:color="auto" w:fill="F2F2F2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clear" w:color="auto" w:fill="F2F2F2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Opis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Planowany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System projektowany, w trakcie budowy, w trakcie wdrożenia.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Modyfikowany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strike/>
                <w:color w:val="000000"/>
                <w:sz w:val="22"/>
                <w:szCs w:val="22"/>
              </w:rPr>
            </w:pPr>
            <w:r>
              <w:rPr>
                <w:strike/>
                <w:color w:val="333333"/>
                <w:sz w:val="22"/>
                <w:szCs w:val="22"/>
              </w:rPr>
              <w:t>System modyfikowany, rozszerzany na potrzeby projektu.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Istniejący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strike/>
                <w:color w:val="333333"/>
                <w:sz w:val="22"/>
                <w:szCs w:val="22"/>
              </w:rPr>
            </w:pPr>
            <w:r>
              <w:rPr>
                <w:strike/>
                <w:color w:val="333333"/>
                <w:sz w:val="22"/>
                <w:szCs w:val="22"/>
              </w:rPr>
              <w:t>System działający produkcyjnie, gotowy do wykorzystania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000000"/>
        </w:rPr>
      </w:pPr>
    </w:p>
    <w:p w:rsidR="00B52AB4" w:rsidRDefault="00B52AB4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000000"/>
        </w:rPr>
      </w:pPr>
      <w:r>
        <w:rPr>
          <w:color w:val="000000"/>
        </w:rPr>
        <w:br/>
      </w:r>
    </w:p>
    <w:p w:rsidR="00B52AB4" w:rsidRDefault="00B52AB4">
      <w:pPr>
        <w:rPr>
          <w:color w:val="000000"/>
        </w:rPr>
      </w:pPr>
      <w:r>
        <w:rPr>
          <w:color w:val="000000"/>
        </w:rPr>
        <w:br w:type="page"/>
      </w:r>
    </w:p>
    <w:p w:rsidR="00FD5507" w:rsidRDefault="00715BA0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7F7F7F"/>
          <w:sz w:val="20"/>
          <w:szCs w:val="20"/>
        </w:rPr>
      </w:pPr>
      <w:r>
        <w:rPr>
          <w:color w:val="000000"/>
        </w:rPr>
        <w:lastRenderedPageBreak/>
        <w:t xml:space="preserve">Lista systemów wykorzystywanych w projekcie </w:t>
      </w:r>
    </w:p>
    <w:tbl>
      <w:tblPr>
        <w:tblStyle w:val="ac"/>
        <w:tblW w:w="9671" w:type="dxa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"/>
        <w:gridCol w:w="1365"/>
        <w:gridCol w:w="1356"/>
        <w:gridCol w:w="2403"/>
        <w:gridCol w:w="1734"/>
        <w:gridCol w:w="1849"/>
      </w:tblGrid>
      <w:tr w:rsidR="00FD5507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Nazwa systemu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Gestor systemu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Opis systemu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Krótki opis ewentualnej zmiany</w:t>
            </w:r>
          </w:p>
        </w:tc>
      </w:tr>
      <w:tr w:rsidR="00FD5507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444E3B" w:rsidP="00B52AB4">
            <w:pPr>
              <w:spacing w:line="256" w:lineRule="auto"/>
              <w:jc w:val="center"/>
            </w:pPr>
            <w:r w:rsidRPr="000944C0"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 w:rsidP="000944C0">
            <w:pPr>
              <w:spacing w:line="256" w:lineRule="auto"/>
            </w:pPr>
            <w:r w:rsidRPr="000944C0">
              <w:t>System digitalizacji i obróbki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 xml:space="preserve">Stanowiska obejmujące skanery i sprzęt do obróbki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715BA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  <w:tr w:rsidR="000944C0" w:rsidTr="000944C0">
        <w:trPr>
          <w:trHeight w:val="9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B52AB4">
            <w:pPr>
              <w:spacing w:line="256" w:lineRule="auto"/>
              <w:jc w:val="center"/>
            </w:pPr>
            <w:r w:rsidRPr="000944C0"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0944C0">
            <w:pPr>
              <w:spacing w:line="256" w:lineRule="auto"/>
            </w:pPr>
            <w:r w:rsidRPr="000944C0">
              <w:t>System przechowywania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System obejmujący serwery do przechowywania danych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  <w:tr w:rsidR="000944C0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B52AB4">
            <w:pPr>
              <w:spacing w:line="256" w:lineRule="auto"/>
              <w:jc w:val="center"/>
            </w:pPr>
            <w:r w:rsidRPr="000944C0"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0944C0">
            <w:pPr>
              <w:spacing w:line="256" w:lineRule="auto"/>
            </w:pPr>
            <w:r w:rsidRPr="000944C0">
              <w:t>System udostępniania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Portal umożliwiający udostępnianie danych użytkownikowi końcowemu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</w:tbl>
    <w:p w:rsidR="00FD5507" w:rsidRDefault="00FD5507">
      <w:pPr>
        <w:jc w:val="both"/>
        <w:rPr>
          <w:color w:val="0070C0"/>
        </w:rPr>
      </w:pPr>
    </w:p>
    <w:p w:rsidR="00FD5507" w:rsidRDefault="00FD5507">
      <w:pPr>
        <w:jc w:val="both"/>
        <w:rPr>
          <w:color w:val="0070C0"/>
        </w:rPr>
      </w:pPr>
    </w:p>
    <w:p w:rsidR="00FD5507" w:rsidRDefault="00715BA0" w:rsidP="007C6709">
      <w:pPr>
        <w:spacing w:before="120" w:after="120"/>
        <w:jc w:val="both"/>
        <w:rPr>
          <w:color w:val="0070C0"/>
        </w:rPr>
      </w:pPr>
      <w:r>
        <w:t xml:space="preserve">Lista przepływów </w:t>
      </w:r>
    </w:p>
    <w:tbl>
      <w:tblPr>
        <w:tblStyle w:val="ad"/>
        <w:tblW w:w="9638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1"/>
        <w:gridCol w:w="1184"/>
        <w:gridCol w:w="1313"/>
        <w:gridCol w:w="1580"/>
        <w:gridCol w:w="1681"/>
        <w:gridCol w:w="1275"/>
        <w:gridCol w:w="1864"/>
      </w:tblGrid>
      <w:tr w:rsidR="00FD5507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System źródłowy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System docelowy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Zakres  wymienianych danych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Sposób wymiany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Typ modyfikacji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Typ Interfejsu</w:t>
            </w:r>
          </w:p>
        </w:tc>
      </w:tr>
      <w:tr w:rsidR="00FD5507" w:rsidTr="00B52AB4">
        <w:trPr>
          <w:trHeight w:val="54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E258B2">
            <w:pPr>
              <w:spacing w:line="256" w:lineRule="auto"/>
              <w:jc w:val="center"/>
            </w:pPr>
            <w:r w:rsidRPr="00E258B2"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80165E" w:rsidP="00E258B2">
            <w:pPr>
              <w:spacing w:line="256" w:lineRule="auto"/>
              <w:jc w:val="center"/>
            </w:pPr>
            <w:r>
              <w:t>OCR</w:t>
            </w:r>
          </w:p>
          <w:p w:rsidR="00FD5507" w:rsidRPr="00E258B2" w:rsidRDefault="00FD5507" w:rsidP="00444E3B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>
            <w:pPr>
              <w:spacing w:line="256" w:lineRule="auto"/>
              <w:jc w:val="center"/>
            </w:pPr>
            <w:r w:rsidRPr="00E258B2">
              <w:t>serwer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>
            <w:pPr>
              <w:spacing w:line="256" w:lineRule="auto"/>
              <w:jc w:val="center"/>
            </w:pPr>
            <w:r w:rsidRPr="00E258B2">
              <w:t>Zasilanie danymi podstawowymi (obrobione pliki graficzne i tekstowe przesyłane do bazy)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444E3B">
            <w:pPr>
              <w:spacing w:line="256" w:lineRule="auto"/>
              <w:jc w:val="center"/>
            </w:pPr>
            <w:r w:rsidRPr="00E258B2">
              <w:t>kopiowanie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444E3B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7C6709" w:rsidRDefault="007C6709" w:rsidP="00E2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t>SWIFT</w:t>
            </w:r>
          </w:p>
        </w:tc>
      </w:tr>
      <w:tr w:rsidR="00444E3B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 w:rsidP="00E258B2">
            <w:pPr>
              <w:spacing w:line="256" w:lineRule="auto"/>
              <w:jc w:val="center"/>
            </w:pPr>
            <w:r w:rsidRPr="00E258B2">
              <w:t>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80165E" w:rsidP="00E97E4B">
            <w:pPr>
              <w:spacing w:line="256" w:lineRule="auto"/>
              <w:jc w:val="center"/>
            </w:pPr>
            <w:r>
              <w:t>S</w:t>
            </w:r>
            <w:r w:rsidR="00444E3B" w:rsidRPr="00E258B2">
              <w:t>erwer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proofErr w:type="spellStart"/>
            <w:r w:rsidRPr="00E258B2">
              <w:t>dspace</w:t>
            </w:r>
            <w:proofErr w:type="spellEnd"/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Dostęp do pełnego zakresu danych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 xml:space="preserve">Tryb </w:t>
            </w:r>
            <w:proofErr w:type="spellStart"/>
            <w:r w:rsidRPr="00E258B2">
              <w:t>odwołań</w:t>
            </w:r>
            <w:proofErr w:type="spellEnd"/>
            <w:r w:rsidRPr="00E258B2">
              <w:t xml:space="preserve"> bezpośrednich, kopiowanie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7C6709" w:rsidRDefault="000E2248" w:rsidP="000E2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rPr>
                <w:color w:val="000000"/>
              </w:rPr>
              <w:t>SWIFT/REST</w:t>
            </w:r>
          </w:p>
        </w:tc>
      </w:tr>
      <w:tr w:rsidR="00444E3B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 w:rsidP="00E258B2">
            <w:pPr>
              <w:spacing w:line="256" w:lineRule="auto"/>
              <w:jc w:val="center"/>
            </w:pPr>
            <w:r w:rsidRPr="00E258B2"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 w:rsidP="00E258B2">
            <w:pPr>
              <w:spacing w:line="256" w:lineRule="auto"/>
              <w:jc w:val="center"/>
            </w:pPr>
            <w:proofErr w:type="spellStart"/>
            <w:r w:rsidRPr="00E258B2">
              <w:t>dspace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>portal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 w:rsidP="00E258B2">
            <w:pPr>
              <w:spacing w:line="256" w:lineRule="auto"/>
              <w:jc w:val="center"/>
            </w:pPr>
            <w:r w:rsidRPr="00E258B2">
              <w:t>Wg zapytania użytkownika z dostępem do całej bazy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 xml:space="preserve">Tryb </w:t>
            </w:r>
            <w:proofErr w:type="spellStart"/>
            <w:r w:rsidRPr="00E258B2">
              <w:t>odwołań</w:t>
            </w:r>
            <w:proofErr w:type="spellEnd"/>
            <w:r w:rsidRPr="00E258B2">
              <w:t xml:space="preserve"> bezpośrednich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7C6709" w:rsidRDefault="000E2248" w:rsidP="00E2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rPr>
                <w:color w:val="000000"/>
              </w:rPr>
              <w:t>SWIFT/REST</w:t>
            </w:r>
          </w:p>
        </w:tc>
      </w:tr>
    </w:tbl>
    <w:p w:rsidR="00FD5507" w:rsidRDefault="00FD5507" w:rsidP="007C6709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color w:val="0070C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</w:pPr>
      <w:bookmarkStart w:id="16" w:name="_1ksv4uv" w:colFirst="0" w:colLast="0"/>
      <w:bookmarkEnd w:id="16"/>
      <w:r>
        <w:lastRenderedPageBreak/>
        <w:t xml:space="preserve">Kluczowe komponenty architektury rozwiązania </w:t>
      </w:r>
    </w:p>
    <w:p w:rsidR="00FD5507" w:rsidRDefault="007C6709" w:rsidP="00B52AB4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color w:val="000000"/>
        </w:rPr>
      </w:pPr>
      <w:bookmarkStart w:id="17" w:name="_44sinio"/>
      <w:bookmarkEnd w:id="17"/>
      <w:r>
        <w:rPr>
          <w:noProof/>
          <w:color w:val="000000"/>
        </w:rPr>
        <w:drawing>
          <wp:inline distT="0" distB="0" distL="0" distR="0" wp14:anchorId="38869610" wp14:editId="1E37AB12">
            <wp:extent cx="4572000" cy="2639332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_10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260" cy="264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851"/>
        <w:rPr>
          <w:color w:val="0070C0"/>
        </w:rPr>
      </w:pPr>
    </w:p>
    <w:p w:rsidR="00FD5507" w:rsidRDefault="00FD5507">
      <w:pPr>
        <w:pStyle w:val="Nagwek2"/>
        <w:keepNext/>
        <w:ind w:left="0" w:firstLine="0"/>
        <w:rPr>
          <w:b w:val="0"/>
          <w:color w:val="7F7F7F"/>
          <w:sz w:val="20"/>
          <w:szCs w:val="2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r>
        <w:t xml:space="preserve">Przyjęte założenia technologiczne </w:t>
      </w:r>
      <w:r>
        <w:rPr>
          <w:b w:val="0"/>
          <w:color w:val="7F7F7F"/>
          <w:sz w:val="20"/>
          <w:szCs w:val="20"/>
        </w:rPr>
        <w:t>&lt;&lt;maksymalnie 2000 znaków&gt;&gt;</w:t>
      </w:r>
    </w:p>
    <w:p w:rsidR="00FD5507" w:rsidRDefault="00FD5507">
      <w:pPr>
        <w:ind w:left="851" w:firstLine="65"/>
        <w:jc w:val="both"/>
        <w:rPr>
          <w:color w:val="0070C0"/>
          <w:sz w:val="22"/>
          <w:szCs w:val="22"/>
        </w:rPr>
      </w:pPr>
    </w:p>
    <w:tbl>
      <w:tblPr>
        <w:tblStyle w:val="ae"/>
        <w:tblW w:w="921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6521"/>
      </w:tblGrid>
      <w:tr w:rsidR="00FD5507">
        <w:tc>
          <w:tcPr>
            <w:tcW w:w="567" w:type="dxa"/>
            <w:shd w:val="clear" w:color="auto" w:fill="E7E6E6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Założenie technologiczne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Infrastruktura</w:t>
            </w:r>
          </w:p>
        </w:tc>
        <w:tc>
          <w:tcPr>
            <w:tcW w:w="6521" w:type="dxa"/>
          </w:tcPr>
          <w:p w:rsidR="00FD5507" w:rsidRPr="00522A0A" w:rsidRDefault="00715BA0">
            <w:pPr>
              <w:jc w:val="center"/>
            </w:pPr>
            <w:r w:rsidRPr="00522A0A">
              <w:t>Serwery wirtualne, dobór zaufanych centrów kolokacji (PCSS), uczelniana sieć miejska POZMAN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Sieć i bezpieczeństwo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Bezpieczeństwo zapewnione w ramach wykorzystywanej infrastruktury (wynajmowane bezpieczne serwery) i oprogramowania (z wbudowanymi modułami ograniczającymi dostęp)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Standardy wymiany danych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Systemy operacyjne serwerowe</w:t>
            </w:r>
          </w:p>
        </w:tc>
        <w:tc>
          <w:tcPr>
            <w:tcW w:w="6521" w:type="dxa"/>
          </w:tcPr>
          <w:p w:rsidR="00FD5507" w:rsidRPr="00522A0A" w:rsidRDefault="00715BA0">
            <w:pPr>
              <w:jc w:val="center"/>
            </w:pPr>
            <w:proofErr w:type="spellStart"/>
            <w:r w:rsidRPr="00522A0A">
              <w:t>Linuxowe</w:t>
            </w:r>
            <w:proofErr w:type="spellEnd"/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B0F0"/>
              </w:rPr>
            </w:pPr>
            <w:r>
              <w:rPr>
                <w:color w:val="000000"/>
              </w:rPr>
              <w:t>Bazy danych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 xml:space="preserve">System integrowany z </w:t>
            </w:r>
            <w:proofErr w:type="spellStart"/>
            <w:r w:rsidRPr="00522A0A">
              <w:t>dspace</w:t>
            </w:r>
            <w:proofErr w:type="spellEnd"/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Serwery aplikacji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Portale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Strona www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bookmarkStart w:id="18" w:name="_2jxsxqh" w:colFirst="0" w:colLast="0"/>
      <w:bookmarkEnd w:id="18"/>
      <w:r>
        <w:t xml:space="preserve">Opis zasobów danych przetwarzanych w planowanym rozwiązaniu </w:t>
      </w:r>
    </w:p>
    <w:p w:rsidR="00FD5507" w:rsidRDefault="00715BA0">
      <w:pPr>
        <w:spacing w:before="120"/>
        <w:ind w:left="851"/>
        <w:jc w:val="both"/>
      </w:pPr>
      <w:r>
        <w:t>Czy nowy system będzie tworzył zasoby danych o charakterze rejestru publicznego?</w:t>
      </w:r>
    </w:p>
    <w:p w:rsidR="00FD5507" w:rsidRDefault="00715BA0">
      <w:pPr>
        <w:spacing w:before="120" w:after="120"/>
        <w:ind w:left="851"/>
        <w:jc w:val="both"/>
      </w:pPr>
      <w:r w:rsidRPr="00522A0A">
        <w:rPr>
          <w:strike/>
        </w:rPr>
        <w:lastRenderedPageBreak/>
        <w:t>TAK</w:t>
      </w:r>
      <w:r>
        <w:t xml:space="preserve">/NIE </w:t>
      </w:r>
      <w:r>
        <w:rPr>
          <w:vertAlign w:val="superscript"/>
        </w:rPr>
        <w:footnoteReference w:id="4"/>
      </w:r>
    </w:p>
    <w:tbl>
      <w:tblPr>
        <w:tblStyle w:val="af"/>
        <w:tblW w:w="779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912"/>
        <w:gridCol w:w="5367"/>
      </w:tblGrid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Tworzony rejestr publiczny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</w:tr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both"/>
              <w:rPr>
                <w:color w:val="0070C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ind w:left="2124"/>
              <w:jc w:val="center"/>
              <w:rPr>
                <w:color w:val="0070C0"/>
              </w:rPr>
            </w:pP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</w:tr>
    </w:tbl>
    <w:p w:rsidR="00FD5507" w:rsidRDefault="00FD5507"/>
    <w:p w:rsidR="00FD5507" w:rsidRDefault="00715BA0">
      <w:pPr>
        <w:spacing w:before="120"/>
        <w:ind w:left="851"/>
        <w:jc w:val="both"/>
      </w:pPr>
      <w:r>
        <w:t xml:space="preserve">Czy nowy system będzie przetwarzał (używał, zmieniał) zawartość innych rejestrów publicznych? </w:t>
      </w:r>
    </w:p>
    <w:p w:rsidR="00FD5507" w:rsidRDefault="00715BA0">
      <w:pPr>
        <w:spacing w:before="120" w:after="120"/>
        <w:ind w:left="851"/>
        <w:jc w:val="both"/>
      </w:pPr>
      <w:r w:rsidRPr="00522A0A">
        <w:rPr>
          <w:strike/>
        </w:rPr>
        <w:t>TAK</w:t>
      </w:r>
      <w:r>
        <w:t xml:space="preserve">/NIE </w:t>
      </w:r>
      <w:r>
        <w:rPr>
          <w:vertAlign w:val="superscript"/>
        </w:rPr>
        <w:footnoteReference w:id="5"/>
      </w:r>
    </w:p>
    <w:tbl>
      <w:tblPr>
        <w:tblStyle w:val="af0"/>
        <w:tblW w:w="765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051"/>
        <w:gridCol w:w="2542"/>
        <w:gridCol w:w="2545"/>
      </w:tblGrid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Rejestr publiczny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Zakres przetwarzania</w:t>
            </w:r>
          </w:p>
        </w:tc>
      </w:tr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both"/>
              <w:rPr>
                <w:color w:val="0070C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ind w:left="2124"/>
              <w:jc w:val="center"/>
              <w:rPr>
                <w:color w:val="0070C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r>
        <w:t>Bezpieczeństwo</w:t>
      </w:r>
      <w:r>
        <w:rPr>
          <w:sz w:val="20"/>
          <w:szCs w:val="20"/>
        </w:rPr>
        <w:t xml:space="preserve"> </w:t>
      </w:r>
    </w:p>
    <w:p w:rsidR="00715BA0" w:rsidRPr="00E71F03" w:rsidRDefault="00715BA0" w:rsidP="00AE5333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Przetwarzanie danych w systemie </w:t>
      </w:r>
      <w:proofErr w:type="spellStart"/>
      <w:r w:rsidRPr="00E71F03">
        <w:rPr>
          <w:sz w:val="20"/>
          <w:szCs w:val="20"/>
        </w:rPr>
        <w:t>Digitarium</w:t>
      </w:r>
      <w:proofErr w:type="spellEnd"/>
      <w:r w:rsidRPr="00E71F03">
        <w:rPr>
          <w:sz w:val="20"/>
          <w:szCs w:val="20"/>
        </w:rPr>
        <w:t xml:space="preserve"> będzie zapewnione na poziomie samego systemu jak i wszelkich kanałów komunikacyjnych pomiędzy systemem, a użytkownikami. Stosowane zabezpieczenia będą adekwatne lub większe od wyznaczonych obowiązującymi normami </w:t>
      </w:r>
      <w:proofErr w:type="spellStart"/>
      <w:r w:rsidRPr="00E71F03">
        <w:rPr>
          <w:sz w:val="20"/>
          <w:szCs w:val="20"/>
        </w:rPr>
        <w:t>prawno</w:t>
      </w:r>
      <w:proofErr w:type="spellEnd"/>
      <w:r w:rsidRPr="00E71F03">
        <w:rPr>
          <w:sz w:val="20"/>
          <w:szCs w:val="20"/>
        </w:rPr>
        <w:t xml:space="preserve"> - formalnymi w zakresie ochrony danych osobowych, praw autorskich, wymiany danych elektronicznych oraz warunków technicznych i organizacyjnych jakim powinny odpowiadać urządzania i systemy informatyczne służące do przetwarzania danych. System fizycznie umi</w:t>
      </w:r>
      <w:r w:rsidR="00522A0A" w:rsidRPr="00E71F03">
        <w:rPr>
          <w:sz w:val="20"/>
          <w:szCs w:val="20"/>
        </w:rPr>
        <w:t>e</w:t>
      </w:r>
      <w:r w:rsidRPr="00E71F03">
        <w:rPr>
          <w:sz w:val="20"/>
          <w:szCs w:val="20"/>
        </w:rPr>
        <w:t>szczony będzie na serwerach Poznańskiego Centrum Superkomputerowo-Sieciowego</w:t>
      </w:r>
      <w:r w:rsidR="00AE5333" w:rsidRPr="00E71F03">
        <w:rPr>
          <w:sz w:val="20"/>
          <w:szCs w:val="20"/>
        </w:rPr>
        <w:t>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Wdrożenie polityki monitorowania parametrów: obciążenia systemu wraz z aktywnymi </w:t>
      </w:r>
      <w:proofErr w:type="spellStart"/>
      <w:r w:rsidRPr="00E71F03">
        <w:rPr>
          <w:sz w:val="20"/>
          <w:szCs w:val="20"/>
        </w:rPr>
        <w:t>wywołaniami</w:t>
      </w:r>
      <w:proofErr w:type="spellEnd"/>
      <w:r w:rsidRPr="00E71F03">
        <w:rPr>
          <w:sz w:val="20"/>
          <w:szCs w:val="20"/>
        </w:rPr>
        <w:t xml:space="preserve"> portalu, działania oraz obciążenia baz danych, obciążenia obliczeniowego serwerów.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Zastosowane będą techniki wirtualizacji, które pozwalają na szybkie odtwarzanie uszkodzonych komponentów systemu.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Działanie zespołu administracji portalu obejmie kompleksową obsługę portalu, jego danych oraz obsługę zagrożeń.</w:t>
      </w:r>
    </w:p>
    <w:p w:rsidR="00715BA0" w:rsidRPr="00E71F03" w:rsidRDefault="00715BA0" w:rsidP="00E71F03">
      <w:pPr>
        <w:pStyle w:val="Nagwek3"/>
        <w:keepLines/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0"/>
          <w:szCs w:val="20"/>
        </w:rPr>
      </w:pPr>
      <w:bookmarkStart w:id="19" w:name="_1664s55" w:colFirst="0" w:colLast="0"/>
      <w:bookmarkEnd w:id="19"/>
      <w:r w:rsidRPr="00E71F03">
        <w:rPr>
          <w:sz w:val="20"/>
          <w:szCs w:val="20"/>
        </w:rPr>
        <w:t>Bezpieczeństwo danych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Dostęp do danych spełniając warunki otwartości i bezpośredniości dla użytkownika standardowego będzie nieograniczony i nie wymuszony logowaniem (tylko możliwość przeszukiwania i przeglądania zasobów). System logowania będzie dotyczyć użytkowników-autorów, którzy samodzielnie chcą dodawać lub zarządzać swoimi materiałami umieszczonymi na platformie (autorzy artykułów). </w:t>
      </w:r>
      <w:proofErr w:type="spellStart"/>
      <w:r w:rsidRPr="00E71F03">
        <w:rPr>
          <w:sz w:val="20"/>
          <w:szCs w:val="20"/>
        </w:rPr>
        <w:t>Digitarium</w:t>
      </w:r>
      <w:proofErr w:type="spellEnd"/>
      <w:r w:rsidRPr="00E71F03">
        <w:rPr>
          <w:sz w:val="20"/>
          <w:szCs w:val="20"/>
        </w:rPr>
        <w:t xml:space="preserve"> będzie zabezpieczać wszystkie dane z uwzględnieniem wymagań </w:t>
      </w:r>
      <w:r w:rsidR="00AE5333" w:rsidRPr="00E71F03">
        <w:rPr>
          <w:sz w:val="20"/>
          <w:szCs w:val="20"/>
        </w:rPr>
        <w:t>r</w:t>
      </w:r>
      <w:r w:rsidRPr="00E71F03">
        <w:rPr>
          <w:sz w:val="20"/>
          <w:szCs w:val="20"/>
          <w:highlight w:val="white"/>
        </w:rPr>
        <w:t xml:space="preserve">ozporządzenia w sprawie </w:t>
      </w:r>
      <w:r w:rsidR="00AE5333" w:rsidRPr="00E71F03">
        <w:rPr>
          <w:sz w:val="20"/>
          <w:szCs w:val="20"/>
          <w:highlight w:val="white"/>
        </w:rPr>
        <w:t>KRI</w:t>
      </w:r>
      <w:r w:rsidRPr="00E71F03">
        <w:rPr>
          <w:sz w:val="20"/>
          <w:szCs w:val="20"/>
          <w:highlight w:val="white"/>
        </w:rPr>
        <w:t>,</w:t>
      </w:r>
      <w:r w:rsidRPr="00E71F03">
        <w:rPr>
          <w:sz w:val="20"/>
          <w:szCs w:val="20"/>
        </w:rPr>
        <w:t xml:space="preserve"> minimalnych wymagań dla rejestrów publicznych i wymiany informacji w postaci elektronicznej oraz minimalnych wymagań dla systemów teleinformatycznych</w:t>
      </w:r>
      <w:r w:rsidRPr="00E71F03">
        <w:rPr>
          <w:sz w:val="20"/>
          <w:szCs w:val="20"/>
          <w:highlight w:val="white"/>
        </w:rPr>
        <w:t xml:space="preserve"> </w:t>
      </w:r>
      <w:r w:rsidRPr="00E71F03">
        <w:rPr>
          <w:sz w:val="20"/>
          <w:szCs w:val="20"/>
        </w:rPr>
        <w:t>oraz normy bezpieczeństwa systemów ISO/IEC 27001 (PN-ISO/IEC 27001) "Systemy zarządzania bezpieczeństwem informacji.”</w:t>
      </w:r>
    </w:p>
    <w:p w:rsidR="00715BA0" w:rsidRPr="00E71F03" w:rsidRDefault="00715BA0" w:rsidP="00E71F03">
      <w:pPr>
        <w:pStyle w:val="Akapitzlist"/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Bezpieczeństwo aplikacji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Ze względu na dostępność zasobów systemu w sieci publicznej będzie on chroniony niezależnym systemem bezpieczeństwa dedykowanym do ochrony aplikacji WEB z uwzględnieniem standardów bezpieczeństwa na poziomie min. OWASP TOP 10.</w:t>
      </w:r>
    </w:p>
    <w:p w:rsidR="00715BA0" w:rsidRPr="00E71F03" w:rsidRDefault="00715BA0" w:rsidP="00E71F03">
      <w:pPr>
        <w:pStyle w:val="Nagwek3"/>
        <w:keepLines/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0"/>
          <w:szCs w:val="20"/>
        </w:rPr>
      </w:pPr>
      <w:bookmarkStart w:id="20" w:name="_3q5sasy" w:colFirst="0" w:colLast="0"/>
      <w:bookmarkEnd w:id="20"/>
      <w:r w:rsidRPr="00E71F03">
        <w:rPr>
          <w:sz w:val="20"/>
          <w:szCs w:val="20"/>
        </w:rPr>
        <w:lastRenderedPageBreak/>
        <w:t>Testy bezpieczeństwa systemu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proofErr w:type="spellStart"/>
      <w:r w:rsidRPr="00E71F03">
        <w:rPr>
          <w:sz w:val="20"/>
          <w:szCs w:val="20"/>
        </w:rPr>
        <w:t>Digitarium</w:t>
      </w:r>
      <w:proofErr w:type="spellEnd"/>
      <w:r w:rsidRPr="00E71F03">
        <w:rPr>
          <w:sz w:val="20"/>
          <w:szCs w:val="20"/>
        </w:rPr>
        <w:t xml:space="preserve"> zostanie objęt</w:t>
      </w:r>
      <w:r w:rsidR="00AE5333" w:rsidRPr="00E71F03">
        <w:rPr>
          <w:sz w:val="20"/>
          <w:szCs w:val="20"/>
        </w:rPr>
        <w:t>e</w:t>
      </w:r>
      <w:r w:rsidRPr="00E71F03">
        <w:rPr>
          <w:sz w:val="20"/>
          <w:szCs w:val="20"/>
        </w:rPr>
        <w:t xml:space="preserve"> testami penetracyjnymi i audytem bezpieczeństwa wykonanym przez specjalizującą się w tym zakresie instytucję. Analiza Systemu pod kątem bezpieczeństwa dostępu do danych przechowywanych w formie elektronicznej zostanie wykonana w oparciu o: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a.</w:t>
      </w:r>
      <w:r w:rsidRPr="00E71F03">
        <w:rPr>
          <w:sz w:val="20"/>
          <w:szCs w:val="20"/>
        </w:rPr>
        <w:tab/>
      </w:r>
      <w:r w:rsidRPr="00E71F03">
        <w:rPr>
          <w:sz w:val="20"/>
          <w:szCs w:val="20"/>
          <w:highlight w:val="white"/>
        </w:rPr>
        <w:t xml:space="preserve">Rozporządzenie w sprawie </w:t>
      </w:r>
      <w:r w:rsidR="00AE5333" w:rsidRPr="00E71F03">
        <w:rPr>
          <w:sz w:val="20"/>
          <w:szCs w:val="20"/>
          <w:highlight w:val="white"/>
        </w:rPr>
        <w:t>KRI</w:t>
      </w:r>
      <w:r w:rsidRPr="00E71F03">
        <w:rPr>
          <w:sz w:val="20"/>
          <w:szCs w:val="20"/>
        </w:rPr>
        <w:t>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b.</w:t>
      </w:r>
      <w:r w:rsidRPr="00E71F03">
        <w:rPr>
          <w:sz w:val="20"/>
          <w:szCs w:val="20"/>
        </w:rPr>
        <w:tab/>
        <w:t>Normę PN-ISO/IEC 27001:2014-12;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c.</w:t>
      </w:r>
      <w:r w:rsidRPr="00E71F03">
        <w:rPr>
          <w:sz w:val="20"/>
          <w:szCs w:val="20"/>
        </w:rPr>
        <w:tab/>
        <w:t>Normę PN-ISO/IEC 27002:2014-12;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d.</w:t>
      </w:r>
      <w:r w:rsidR="00AE5333" w:rsidRPr="00E71F03">
        <w:rPr>
          <w:sz w:val="20"/>
          <w:szCs w:val="20"/>
        </w:rPr>
        <w:tab/>
        <w:t>Normę PN-ISO/IEC 27005:2014-01;</w:t>
      </w:r>
    </w:p>
    <w:p w:rsidR="00715BA0" w:rsidRPr="00E71F03" w:rsidRDefault="00AE5333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e.</w:t>
      </w:r>
      <w:r w:rsidRPr="00E71F03">
        <w:rPr>
          <w:sz w:val="20"/>
          <w:szCs w:val="20"/>
        </w:rPr>
        <w:tab/>
        <w:t>Normę PN-ISO 31000</w:t>
      </w:r>
      <w:r w:rsidR="00715BA0" w:rsidRPr="00E71F03">
        <w:rPr>
          <w:sz w:val="20"/>
          <w:szCs w:val="20"/>
        </w:rPr>
        <w:t>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f.</w:t>
      </w:r>
      <w:r w:rsidRPr="00E71F03">
        <w:rPr>
          <w:sz w:val="20"/>
          <w:szCs w:val="20"/>
        </w:rPr>
        <w:tab/>
        <w:t>Normę PN-ISO/IEC 20000-1:2014-01;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g.</w:t>
      </w:r>
      <w:r w:rsidRPr="00E71F03">
        <w:rPr>
          <w:sz w:val="20"/>
          <w:szCs w:val="20"/>
        </w:rPr>
        <w:tab/>
        <w:t>Normę PN-ISO/IEC 20000-2:2007;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h.</w:t>
      </w:r>
      <w:r w:rsidRPr="00E71F03">
        <w:rPr>
          <w:sz w:val="20"/>
          <w:szCs w:val="20"/>
        </w:rPr>
        <w:tab/>
        <w:t>Poprawka do polskiej normy PN-ISO/IEC 20000-2:2007/Ap1:2011;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i.</w:t>
      </w:r>
      <w:r w:rsidRPr="00E71F03">
        <w:rPr>
          <w:sz w:val="20"/>
          <w:szCs w:val="20"/>
        </w:rPr>
        <w:tab/>
      </w:r>
      <w:r w:rsidR="00E71F03" w:rsidRPr="00E71F03">
        <w:rPr>
          <w:sz w:val="20"/>
          <w:szCs w:val="20"/>
        </w:rPr>
        <w:t xml:space="preserve">Ustawę z 10.05.2018 </w:t>
      </w:r>
      <w:r w:rsidR="00E71F03" w:rsidRPr="00E71F03">
        <w:rPr>
          <w:rStyle w:val="grame"/>
          <w:sz w:val="20"/>
          <w:szCs w:val="20"/>
        </w:rPr>
        <w:t>o</w:t>
      </w:r>
      <w:r w:rsidR="00E71F03" w:rsidRPr="00E71F03">
        <w:rPr>
          <w:sz w:val="20"/>
          <w:szCs w:val="20"/>
        </w:rPr>
        <w:t xml:space="preserve"> ochronie danych osobowych – Dz. U. 2018 poz. 1000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j.</w:t>
      </w:r>
      <w:r w:rsidRPr="00E71F03">
        <w:rPr>
          <w:sz w:val="20"/>
          <w:szCs w:val="20"/>
        </w:rPr>
        <w:tab/>
        <w:t>Rozporządzenie Ministra Spraw Wewnętrznych i Administracji z dnia 29 kwietnia 2004 r. w sprawie dokumentacji przetwarzania danych osobowych oraz warunków technicznych i organizacyjnych, jakim powinny odpowiada urządzenia i systemy informatyczne służące do przetwarzania danych osobowych, Dz. U. 2004 poz. 1024;</w:t>
      </w:r>
    </w:p>
    <w:p w:rsidR="00AE5333" w:rsidRPr="00E71F03" w:rsidRDefault="00715BA0" w:rsidP="00AE5333">
      <w:pPr>
        <w:pStyle w:val="Nagwek2"/>
        <w:keepNext/>
        <w:ind w:left="851" w:firstLine="283"/>
        <w:rPr>
          <w:b w:val="0"/>
          <w:sz w:val="20"/>
          <w:szCs w:val="20"/>
          <w:highlight w:val="yellow"/>
        </w:rPr>
      </w:pPr>
      <w:bookmarkStart w:id="21" w:name="_25b2l0r" w:colFirst="0" w:colLast="0"/>
      <w:bookmarkEnd w:id="21"/>
      <w:r w:rsidRPr="00E71F03">
        <w:rPr>
          <w:b w:val="0"/>
          <w:sz w:val="20"/>
          <w:szCs w:val="20"/>
        </w:rPr>
        <w:t>k.</w:t>
      </w:r>
      <w:r w:rsidRPr="00E71F03">
        <w:rPr>
          <w:b w:val="0"/>
          <w:sz w:val="20"/>
          <w:szCs w:val="20"/>
        </w:rPr>
        <w:tab/>
        <w:t>Ustawę o informatyzacji działalności podmiotów realizujących zadania publiczne z 17 lutego 2005 r., Dz. U. 2013  poz. 235 z późniejszymi zmianami.</w:t>
      </w:r>
      <w:r w:rsidR="00AE5333" w:rsidRPr="00E71F03">
        <w:rPr>
          <w:b w:val="0"/>
          <w:sz w:val="20"/>
          <w:szCs w:val="20"/>
          <w:highlight w:val="yellow"/>
        </w:rPr>
        <w:t xml:space="preserve"> 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Testy bezpieczeństwa w projekcie są procesem ciągłym i cyklicznym, więc usuwanie ewentualnych luk bezpieczeństwa i poprawianie dokumentacji również będą wykonywane cyklicznie. 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70C0"/>
          <w:sz w:val="22"/>
          <w:szCs w:val="22"/>
        </w:rPr>
      </w:pP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FD5507"/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hanging="900"/>
        <w:rPr>
          <w:color w:val="000000"/>
        </w:rPr>
      </w:pPr>
    </w:p>
    <w:sectPr w:rsidR="00FD5507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20" w:rsidRDefault="00BE7520">
      <w:r>
        <w:separator/>
      </w:r>
    </w:p>
  </w:endnote>
  <w:endnote w:type="continuationSeparator" w:id="0">
    <w:p w:rsidR="00BE7520" w:rsidRDefault="00BE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6B" w:rsidRDefault="00F1516B">
    <w:pPr>
      <w:pBdr>
        <w:top w:val="nil"/>
        <w:left w:val="nil"/>
        <w:bottom w:val="nil"/>
        <w:right w:val="nil"/>
        <w:between w:val="nil"/>
      </w:pBdr>
      <w:tabs>
        <w:tab w:val="center" w:pos="4435"/>
        <w:tab w:val="right" w:pos="8870"/>
      </w:tabs>
      <w:spacing w:after="240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|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D6075">
      <w:rPr>
        <w:noProof/>
        <w:color w:val="000000"/>
        <w:sz w:val="20"/>
        <w:szCs w:val="20"/>
      </w:rPr>
      <w:t>14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20" w:rsidRDefault="00BE7520">
      <w:r>
        <w:separator/>
      </w:r>
    </w:p>
  </w:footnote>
  <w:footnote w:type="continuationSeparator" w:id="0">
    <w:p w:rsidR="00BE7520" w:rsidRDefault="00BE7520">
      <w:r>
        <w:continuationSeparator/>
      </w:r>
    </w:p>
  </w:footnote>
  <w:footnote w:id="1">
    <w:p w:rsidR="00F1516B" w:rsidRDefault="00F1516B">
      <w:pPr>
        <w:jc w:val="both"/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 Pięciostopniowa e-dojrzałość usług określona w badaniach „</w:t>
      </w:r>
      <w:proofErr w:type="spellStart"/>
      <w:r>
        <w:rPr>
          <w:sz w:val="18"/>
          <w:szCs w:val="18"/>
        </w:rPr>
        <w:t>Digitizing</w:t>
      </w:r>
      <w:proofErr w:type="spellEnd"/>
      <w:r>
        <w:rPr>
          <w:sz w:val="18"/>
          <w:szCs w:val="18"/>
        </w:rPr>
        <w:t xml:space="preserve"> Public Services in Europe: </w:t>
      </w:r>
      <w:proofErr w:type="spellStart"/>
      <w:r>
        <w:rPr>
          <w:sz w:val="18"/>
          <w:szCs w:val="18"/>
        </w:rPr>
        <w:t>Putting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ambition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action</w:t>
      </w:r>
      <w:proofErr w:type="spellEnd"/>
      <w:r>
        <w:rPr>
          <w:sz w:val="18"/>
          <w:szCs w:val="18"/>
        </w:rPr>
        <w:t xml:space="preserve">”, prowadzonych na zlecenie KE przez firmę Cap </w:t>
      </w:r>
      <w:proofErr w:type="spellStart"/>
      <w:r>
        <w:rPr>
          <w:sz w:val="18"/>
          <w:szCs w:val="18"/>
        </w:rPr>
        <w:t>Gemini</w:t>
      </w:r>
      <w:proofErr w:type="spellEnd"/>
      <w:r>
        <w:rPr>
          <w:sz w:val="18"/>
          <w:szCs w:val="18"/>
        </w:rPr>
        <w:t>.</w:t>
      </w:r>
    </w:p>
  </w:footnote>
  <w:footnote w:id="2">
    <w:p w:rsidR="00F1516B" w:rsidRDefault="00F15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 </w:t>
      </w:r>
    </w:p>
  </w:footnote>
  <w:footnote w:id="3">
    <w:p w:rsidR="00F1516B" w:rsidRDefault="00F1516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Niepotrzebne skreślić</w:t>
      </w:r>
    </w:p>
  </w:footnote>
  <w:footnote w:id="4">
    <w:p w:rsidR="00F1516B" w:rsidRDefault="00F15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</w:t>
      </w:r>
    </w:p>
  </w:footnote>
  <w:footnote w:id="5">
    <w:p w:rsidR="00F1516B" w:rsidRDefault="00F15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6B" w:rsidRDefault="00F1516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center"/>
      <w:rPr>
        <w:i/>
        <w:color w:val="0070C0"/>
        <w:sz w:val="18"/>
        <w:szCs w:val="18"/>
      </w:rPr>
    </w:pPr>
    <w:r>
      <w:rPr>
        <w:color w:val="000000"/>
        <w:sz w:val="18"/>
        <w:szCs w:val="18"/>
      </w:rPr>
      <w:t xml:space="preserve">OPIS ZAŁOŻEŃ PROJEKTU INFORMATYCZNEGO </w:t>
    </w:r>
  </w:p>
  <w:p w:rsidR="00F1516B" w:rsidRDefault="00F1516B">
    <w:pPr>
      <w:jc w:val="center"/>
      <w:rPr>
        <w:sz w:val="20"/>
        <w:szCs w:val="20"/>
      </w:rPr>
    </w:pPr>
    <w:r>
      <w:rPr>
        <w:b/>
        <w:highlight w:val="white"/>
      </w:rPr>
      <w:t xml:space="preserve">Digitalizacja i integracja zasobów nauki w ramach wspólnej platformy </w:t>
    </w:r>
    <w:proofErr w:type="spellStart"/>
    <w:r>
      <w:rPr>
        <w:b/>
        <w:highlight w:val="white"/>
      </w:rPr>
      <w:t>repozytoryjnej</w:t>
    </w:r>
    <w:proofErr w:type="spellEnd"/>
    <w:r>
      <w:rPr>
        <w:b/>
        <w:highlight w:val="white"/>
      </w:rPr>
      <w:t xml:space="preserve"> instytutów badawczych - </w:t>
    </w:r>
    <w:proofErr w:type="spellStart"/>
    <w:r>
      <w:rPr>
        <w:b/>
        <w:highlight w:val="white"/>
      </w:rPr>
      <w:t>Digitarium</w:t>
    </w:r>
    <w:proofErr w:type="spellEnd"/>
    <w:r>
      <w:rPr>
        <w:b/>
        <w:highlight w:val="white"/>
      </w:rPr>
      <w:t xml:space="preserve"> Instytutów Badawczych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677"/>
    <w:multiLevelType w:val="multilevel"/>
    <w:tmpl w:val="428EBF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19686B1B"/>
    <w:multiLevelType w:val="multilevel"/>
    <w:tmpl w:val="5E94EDB6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nsid w:val="21C53E51"/>
    <w:multiLevelType w:val="multilevel"/>
    <w:tmpl w:val="E56C11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2C5620B4"/>
    <w:multiLevelType w:val="multilevel"/>
    <w:tmpl w:val="ACC6A1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33E939F1"/>
    <w:multiLevelType w:val="multilevel"/>
    <w:tmpl w:val="345E88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C1B104A"/>
    <w:multiLevelType w:val="multilevel"/>
    <w:tmpl w:val="38347894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6">
    <w:nsid w:val="3E754AE0"/>
    <w:multiLevelType w:val="multilevel"/>
    <w:tmpl w:val="53AEA15C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7">
    <w:nsid w:val="42F03265"/>
    <w:multiLevelType w:val="multilevel"/>
    <w:tmpl w:val="22FC8A48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8">
    <w:nsid w:val="44F6528F"/>
    <w:multiLevelType w:val="multilevel"/>
    <w:tmpl w:val="033696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7012CF4"/>
    <w:multiLevelType w:val="multilevel"/>
    <w:tmpl w:val="ACCA5520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C104415"/>
    <w:multiLevelType w:val="multilevel"/>
    <w:tmpl w:val="4380F29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F9B27CD"/>
    <w:multiLevelType w:val="hybridMultilevel"/>
    <w:tmpl w:val="0C54433C"/>
    <w:lvl w:ilvl="0" w:tplc="0302B9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055B8"/>
    <w:multiLevelType w:val="multilevel"/>
    <w:tmpl w:val="99E463B8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eastAsia="Arial" w:hAnsi="Arial" w:cs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eastAsia="Arial" w:hAnsi="Arial" w:cs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eastAsia="Arial" w:hAnsi="Arial" w:cs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eastAsia="Arial" w:hAnsi="Arial" w:cs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eastAsia="Arial" w:hAnsi="Arial" w:cs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eastAsia="Arial" w:hAnsi="Arial" w:cs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eastAsia="Arial" w:hAnsi="Arial" w:cs="Arial"/>
      </w:rPr>
    </w:lvl>
  </w:abstractNum>
  <w:abstractNum w:abstractNumId="13">
    <w:nsid w:val="744416D2"/>
    <w:multiLevelType w:val="multilevel"/>
    <w:tmpl w:val="6CD6E4F0"/>
    <w:lvl w:ilvl="0">
      <w:start w:val="10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1175" w:hanging="465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3210" w:hanging="108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990" w:hanging="144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770" w:hanging="180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14">
    <w:nsid w:val="75A4596E"/>
    <w:multiLevelType w:val="multilevel"/>
    <w:tmpl w:val="18DC18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176F55"/>
    <w:multiLevelType w:val="multilevel"/>
    <w:tmpl w:val="AD587FD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16">
    <w:nsid w:val="7C175106"/>
    <w:multiLevelType w:val="multilevel"/>
    <w:tmpl w:val="3F44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8A004A"/>
    <w:multiLevelType w:val="hybridMultilevel"/>
    <w:tmpl w:val="F0B8603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7FE702DE"/>
    <w:multiLevelType w:val="multilevel"/>
    <w:tmpl w:val="56148FE0"/>
    <w:lvl w:ilvl="0">
      <w:start w:val="6"/>
      <w:numFmt w:val="decimal"/>
      <w:lvlText w:val="%1."/>
      <w:lvlJc w:val="left"/>
      <w:pPr>
        <w:ind w:left="786" w:hanging="360"/>
      </w:pPr>
      <w:rPr>
        <w:rFonts w:ascii="Arial" w:eastAsia="Arial" w:hAnsi="Arial" w:cs="Arial"/>
      </w:rPr>
    </w:lvl>
    <w:lvl w:ilvl="1">
      <w:start w:val="3"/>
      <w:numFmt w:val="decimal"/>
      <w:lvlText w:val="%1.%2"/>
      <w:lvlJc w:val="left"/>
      <w:pPr>
        <w:ind w:left="710" w:firstLine="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eastAsia="Arial" w:hAnsi="Arial" w:cs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eastAsia="Arial" w:hAnsi="Arial" w:cs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eastAsia="Arial" w:hAnsi="Arial" w:cs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eastAsia="Arial" w:hAnsi="Arial" w:cs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eastAsia="Arial" w:hAnsi="Arial" w:cs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eastAsia="Arial" w:hAnsi="Arial" w:cs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0"/>
  </w:num>
  <w:num w:numId="5">
    <w:abstractNumId w:val="12"/>
  </w:num>
  <w:num w:numId="6">
    <w:abstractNumId w:val="18"/>
  </w:num>
  <w:num w:numId="7">
    <w:abstractNumId w:val="15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7"/>
  </w:num>
  <w:num w:numId="14">
    <w:abstractNumId w:val="14"/>
    <w:lvlOverride w:ilvl="1">
      <w:lvl w:ilvl="1">
        <w:numFmt w:val="decimal"/>
        <w:lvlText w:val="%2."/>
        <w:lvlJc w:val="left"/>
      </w:lvl>
    </w:lvlOverride>
  </w:num>
  <w:num w:numId="15">
    <w:abstractNumId w:val="2"/>
  </w:num>
  <w:num w:numId="16">
    <w:abstractNumId w:val="11"/>
  </w:num>
  <w:num w:numId="17">
    <w:abstractNumId w:val="3"/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5507"/>
    <w:rsid w:val="00061C9E"/>
    <w:rsid w:val="00071205"/>
    <w:rsid w:val="000905AF"/>
    <w:rsid w:val="000944C0"/>
    <w:rsid w:val="000E2248"/>
    <w:rsid w:val="002D6075"/>
    <w:rsid w:val="0034295F"/>
    <w:rsid w:val="003B2C93"/>
    <w:rsid w:val="00444E3B"/>
    <w:rsid w:val="00522A0A"/>
    <w:rsid w:val="00573874"/>
    <w:rsid w:val="005B2322"/>
    <w:rsid w:val="00621E36"/>
    <w:rsid w:val="006B0C6D"/>
    <w:rsid w:val="00715BA0"/>
    <w:rsid w:val="007C6709"/>
    <w:rsid w:val="0080165E"/>
    <w:rsid w:val="00830030"/>
    <w:rsid w:val="008B1D54"/>
    <w:rsid w:val="00940CE6"/>
    <w:rsid w:val="00A0351F"/>
    <w:rsid w:val="00AA3217"/>
    <w:rsid w:val="00AE5333"/>
    <w:rsid w:val="00B52AB4"/>
    <w:rsid w:val="00BE7520"/>
    <w:rsid w:val="00C7017C"/>
    <w:rsid w:val="00CB2136"/>
    <w:rsid w:val="00E07C7F"/>
    <w:rsid w:val="00E258B2"/>
    <w:rsid w:val="00E32F86"/>
    <w:rsid w:val="00E71F03"/>
    <w:rsid w:val="00E97E4B"/>
    <w:rsid w:val="00F1516B"/>
    <w:rsid w:val="00FC2C25"/>
    <w:rsid w:val="00FC7930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pBdr>
        <w:top w:val="nil"/>
        <w:left w:val="nil"/>
        <w:bottom w:val="nil"/>
        <w:right w:val="nil"/>
        <w:between w:val="nil"/>
      </w:pBdr>
      <w:spacing w:before="360" w:after="120"/>
      <w:ind w:left="360" w:hanging="360"/>
      <w:outlineLvl w:val="0"/>
    </w:pPr>
    <w:rPr>
      <w:b/>
      <w:smallCaps/>
      <w:color w:val="000000"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ind w:left="792" w:right="170" w:hanging="432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1800"/>
      </w:tabs>
      <w:spacing w:before="120" w:after="120"/>
      <w:ind w:left="1506" w:right="170" w:hanging="504"/>
      <w:outlineLvl w:val="2"/>
    </w:pPr>
    <w:rPr>
      <w:color w:val="000000"/>
    </w:rPr>
  </w:style>
  <w:style w:type="paragraph" w:styleId="Nagwek4">
    <w:name w:val="heading 4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2610"/>
      </w:tabs>
      <w:spacing w:before="120" w:after="120"/>
      <w:ind w:left="1728" w:right="170" w:hanging="648"/>
      <w:outlineLvl w:val="3"/>
    </w:pPr>
    <w:rPr>
      <w:color w:val="000000"/>
    </w:rPr>
  </w:style>
  <w:style w:type="paragraph" w:styleId="Nagwek5">
    <w:name w:val="heading 5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3690"/>
      </w:tabs>
      <w:spacing w:before="120" w:after="120"/>
      <w:ind w:left="2232" w:right="170" w:hanging="791"/>
      <w:outlineLvl w:val="4"/>
    </w:pPr>
    <w:rPr>
      <w:color w:val="000000"/>
    </w:rPr>
  </w:style>
  <w:style w:type="paragraph" w:styleId="Nagwek6">
    <w:name w:val="heading 6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4590"/>
      </w:tabs>
      <w:spacing w:before="120" w:after="120"/>
      <w:ind w:left="2736" w:right="170" w:hanging="936"/>
      <w:outlineLvl w:val="5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720" w:after="720"/>
      <w:jc w:val="center"/>
    </w:pPr>
    <w:rPr>
      <w:b/>
      <w:sz w:val="40"/>
      <w:szCs w:val="40"/>
    </w:rPr>
  </w:style>
  <w:style w:type="paragraph" w:styleId="Podtytu">
    <w:name w:val="Subtitle"/>
    <w:basedOn w:val="Normalny"/>
    <w:next w:val="Normalny"/>
    <w:pPr>
      <w:spacing w:before="240" w:after="240"/>
    </w:pPr>
    <w:rPr>
      <w:b/>
      <w:smallCaps/>
      <w:sz w:val="32"/>
      <w:szCs w:val="32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B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BA0"/>
    <w:rPr>
      <w:rFonts w:ascii="Tahoma" w:hAnsi="Tahoma" w:cs="Tahoma"/>
      <w:sz w:val="16"/>
      <w:szCs w:val="16"/>
    </w:rPr>
  </w:style>
  <w:style w:type="character" w:customStyle="1" w:styleId="grame">
    <w:name w:val="grame"/>
    <w:basedOn w:val="Domylnaczcionkaakapitu"/>
    <w:rsid w:val="00E71F03"/>
  </w:style>
  <w:style w:type="paragraph" w:styleId="Akapitzlist">
    <w:name w:val="List Paragraph"/>
    <w:basedOn w:val="Normalny"/>
    <w:uiPriority w:val="34"/>
    <w:qFormat/>
    <w:rsid w:val="00E71F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1D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061C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pBdr>
        <w:top w:val="nil"/>
        <w:left w:val="nil"/>
        <w:bottom w:val="nil"/>
        <w:right w:val="nil"/>
        <w:between w:val="nil"/>
      </w:pBdr>
      <w:spacing w:before="360" w:after="120"/>
      <w:ind w:left="360" w:hanging="360"/>
      <w:outlineLvl w:val="0"/>
    </w:pPr>
    <w:rPr>
      <w:b/>
      <w:smallCaps/>
      <w:color w:val="000000"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ind w:left="792" w:right="170" w:hanging="432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1800"/>
      </w:tabs>
      <w:spacing w:before="120" w:after="120"/>
      <w:ind w:left="1506" w:right="170" w:hanging="504"/>
      <w:outlineLvl w:val="2"/>
    </w:pPr>
    <w:rPr>
      <w:color w:val="000000"/>
    </w:rPr>
  </w:style>
  <w:style w:type="paragraph" w:styleId="Nagwek4">
    <w:name w:val="heading 4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2610"/>
      </w:tabs>
      <w:spacing w:before="120" w:after="120"/>
      <w:ind w:left="1728" w:right="170" w:hanging="648"/>
      <w:outlineLvl w:val="3"/>
    </w:pPr>
    <w:rPr>
      <w:color w:val="000000"/>
    </w:rPr>
  </w:style>
  <w:style w:type="paragraph" w:styleId="Nagwek5">
    <w:name w:val="heading 5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3690"/>
      </w:tabs>
      <w:spacing w:before="120" w:after="120"/>
      <w:ind w:left="2232" w:right="170" w:hanging="791"/>
      <w:outlineLvl w:val="4"/>
    </w:pPr>
    <w:rPr>
      <w:color w:val="000000"/>
    </w:rPr>
  </w:style>
  <w:style w:type="paragraph" w:styleId="Nagwek6">
    <w:name w:val="heading 6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4590"/>
      </w:tabs>
      <w:spacing w:before="120" w:after="120"/>
      <w:ind w:left="2736" w:right="170" w:hanging="936"/>
      <w:outlineLvl w:val="5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720" w:after="720"/>
      <w:jc w:val="center"/>
    </w:pPr>
    <w:rPr>
      <w:b/>
      <w:sz w:val="40"/>
      <w:szCs w:val="40"/>
    </w:rPr>
  </w:style>
  <w:style w:type="paragraph" w:styleId="Podtytu">
    <w:name w:val="Subtitle"/>
    <w:basedOn w:val="Normalny"/>
    <w:next w:val="Normalny"/>
    <w:pPr>
      <w:spacing w:before="240" w:after="240"/>
    </w:pPr>
    <w:rPr>
      <w:b/>
      <w:smallCaps/>
      <w:sz w:val="32"/>
      <w:szCs w:val="32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B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BA0"/>
    <w:rPr>
      <w:rFonts w:ascii="Tahoma" w:hAnsi="Tahoma" w:cs="Tahoma"/>
      <w:sz w:val="16"/>
      <w:szCs w:val="16"/>
    </w:rPr>
  </w:style>
  <w:style w:type="character" w:customStyle="1" w:styleId="grame">
    <w:name w:val="grame"/>
    <w:basedOn w:val="Domylnaczcionkaakapitu"/>
    <w:rsid w:val="00E71F03"/>
  </w:style>
  <w:style w:type="paragraph" w:styleId="Akapitzlist">
    <w:name w:val="List Paragraph"/>
    <w:basedOn w:val="Normalny"/>
    <w:uiPriority w:val="34"/>
    <w:qFormat/>
    <w:rsid w:val="00E71F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1D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061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yfryzacja/standard-interfejsu-programistycznego-aplikacji-api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Dublin_Co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5564</Words>
  <Characters>33387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PIMR</Company>
  <LinksUpToDate>false</LinksUpToDate>
  <CharactersWithSpaces>38874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Klembalska</cp:lastModifiedBy>
  <cp:revision>4</cp:revision>
  <dcterms:created xsi:type="dcterms:W3CDTF">2018-12-03T13:45:00Z</dcterms:created>
  <dcterms:modified xsi:type="dcterms:W3CDTF">2018-12-03T13:50:00Z</dcterms:modified>
</cp:coreProperties>
</file>